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663" w:rsidRDefault="005A5663"/>
    <w:p w:rsidR="00B67825" w:rsidRDefault="00B67825"/>
    <w:p w:rsidR="00B67825" w:rsidRDefault="00B67825"/>
    <w:p w:rsidR="00B67825" w:rsidRPr="00B67825" w:rsidRDefault="00B67825" w:rsidP="00B67825">
      <w:pPr>
        <w:jc w:val="center"/>
        <w:rPr>
          <w:b/>
          <w:sz w:val="36"/>
        </w:rPr>
      </w:pPr>
      <w:r w:rsidRPr="00B67825">
        <w:rPr>
          <w:b/>
          <w:sz w:val="36"/>
        </w:rPr>
        <w:t>РЕКОМЕНДАЦИИ</w:t>
      </w:r>
    </w:p>
    <w:p w:rsidR="00B67825" w:rsidRPr="00B67825" w:rsidRDefault="00B67825" w:rsidP="00B67825">
      <w:pPr>
        <w:jc w:val="center"/>
        <w:rPr>
          <w:b/>
          <w:sz w:val="28"/>
        </w:rPr>
      </w:pPr>
      <w:r w:rsidRPr="00B67825">
        <w:rPr>
          <w:b/>
          <w:sz w:val="28"/>
        </w:rPr>
        <w:t>Парламентских слушаний на тему:</w:t>
      </w:r>
    </w:p>
    <w:p w:rsidR="00B67825" w:rsidRDefault="00B67825"/>
    <w:p w:rsidR="00B67825" w:rsidRPr="00B67825" w:rsidRDefault="00B67825" w:rsidP="00B67825">
      <w:pPr>
        <w:jc w:val="center"/>
        <w:rPr>
          <w:b/>
          <w:sz w:val="36"/>
        </w:rPr>
      </w:pPr>
      <w:r w:rsidRPr="00B67825">
        <w:rPr>
          <w:b/>
          <w:sz w:val="36"/>
        </w:rPr>
        <w:t>ЗАКОНОДАТЕЛЬНОЕ РЕГУЛИРОВАНИЕ ОБЕСПЕЧЕНИЯ БЕЗОПАСНОСТИ ЗДАНИЙ И СООРУЖЕНИЙ: ПРОБЛЕМЫ И ОСНОВНЫЕ НАПРАВЛЕНИЯ СОВЕРШЕНСТВОВАНИЯ</w:t>
      </w:r>
    </w:p>
    <w:p w:rsidR="00B67825" w:rsidRDefault="00B67825"/>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98"/>
        <w:gridCol w:w="8476"/>
      </w:tblGrid>
      <w:tr w:rsidR="00B67825" w:rsidTr="00B67825">
        <w:tc>
          <w:tcPr>
            <w:tcW w:w="1980" w:type="dxa"/>
          </w:tcPr>
          <w:p w:rsidR="00B67825" w:rsidRPr="00B67825" w:rsidRDefault="00B67825">
            <w:pPr>
              <w:rPr>
                <w:sz w:val="28"/>
                <w:u w:val="single"/>
              </w:rPr>
            </w:pPr>
            <w:r w:rsidRPr="00B67825">
              <w:rPr>
                <w:sz w:val="28"/>
                <w:u w:val="single"/>
              </w:rPr>
              <w:t>Организаторы:</w:t>
            </w:r>
          </w:p>
        </w:tc>
        <w:tc>
          <w:tcPr>
            <w:tcW w:w="8476" w:type="dxa"/>
          </w:tcPr>
          <w:p w:rsidR="00B67825" w:rsidRPr="00B67825" w:rsidRDefault="00B67825">
            <w:pPr>
              <w:rPr>
                <w:b/>
                <w:sz w:val="28"/>
              </w:rPr>
            </w:pPr>
            <w:r w:rsidRPr="00B67825">
              <w:rPr>
                <w:b/>
                <w:sz w:val="28"/>
              </w:rPr>
              <w:t>Комитет Государственной Думы по земельным отношениям и строительству</w:t>
            </w:r>
          </w:p>
        </w:tc>
      </w:tr>
      <w:tr w:rsidR="00B67825" w:rsidRPr="00B67825" w:rsidTr="00B67825">
        <w:tc>
          <w:tcPr>
            <w:tcW w:w="1980" w:type="dxa"/>
          </w:tcPr>
          <w:p w:rsidR="00B67825" w:rsidRPr="00B67825" w:rsidRDefault="00B67825">
            <w:pPr>
              <w:rPr>
                <w:b/>
                <w:i/>
                <w:sz w:val="28"/>
              </w:rPr>
            </w:pPr>
            <w:r w:rsidRPr="00B67825">
              <w:rPr>
                <w:b/>
                <w:i/>
                <w:sz w:val="28"/>
              </w:rPr>
              <w:t>Г. Москва</w:t>
            </w:r>
          </w:p>
        </w:tc>
        <w:tc>
          <w:tcPr>
            <w:tcW w:w="8476" w:type="dxa"/>
          </w:tcPr>
          <w:p w:rsidR="00B67825" w:rsidRPr="00B67825" w:rsidRDefault="00B67825" w:rsidP="00B67825">
            <w:pPr>
              <w:jc w:val="right"/>
              <w:rPr>
                <w:b/>
                <w:i/>
                <w:sz w:val="28"/>
              </w:rPr>
            </w:pPr>
            <w:r w:rsidRPr="00B67825">
              <w:rPr>
                <w:b/>
                <w:i/>
                <w:sz w:val="28"/>
              </w:rPr>
              <w:t>10 октября 2013 года</w:t>
            </w:r>
          </w:p>
        </w:tc>
      </w:tr>
    </w:tbl>
    <w:p w:rsidR="00B67825" w:rsidRDefault="00B67825"/>
    <w:p w:rsidR="00B67825" w:rsidRDefault="00B67825"/>
    <w:p w:rsidR="00B67825" w:rsidRDefault="00B67825" w:rsidP="00B67825">
      <w:pPr>
        <w:ind w:firstLine="360"/>
      </w:pPr>
      <w:r>
        <w:t>Обсудив с участием депутатов Государственной Думы, членов Совета Федерации, представителей Администрации Президента Российской Федерации, Правительства Российской Федерации, Министерства регионального развития Российской Федерации, Министерства экономического развития Российской Федерации, Министерства Российской Федерации по делам гр</w:t>
      </w:r>
      <w:bookmarkStart w:id="0" w:name="_GoBack"/>
      <w:bookmarkEnd w:id="0"/>
      <w:r>
        <w:t xml:space="preserve">ажданской обороны, чрезвычайным ситуациям и ликвидации последствий стихийных бедствий, органов государственной власти субъектов Российской Федерации, иных федеральных органов исполнительной власти, представителей законодательных и исполнительных органов государственной власти субъектов Российской Федерации, представителей национальных объединений саморегулируемых организаций в области инженерных изысканий, проектирования, строительства, представителей экспертных, научных и отраслевых организаций, участники парламентских слушаний </w:t>
      </w:r>
      <w:r>
        <w:rPr>
          <w:b/>
        </w:rPr>
        <w:t>отмечают</w:t>
      </w:r>
      <w:r>
        <w:t xml:space="preserve">: </w:t>
      </w:r>
    </w:p>
    <w:p w:rsidR="00B67825" w:rsidRDefault="00B67825" w:rsidP="00B67825">
      <w:pPr>
        <w:ind w:firstLine="360"/>
      </w:pPr>
      <w:r>
        <w:t>В настоящее время государственная политика в области строительства направлена на снижение административных барьеров в строительстве, предоставление возможности осуществления всех процедур согласования строительства в минимально возможные сроки путем, как упрощения самих процедур, так и их сокращения.</w:t>
      </w:r>
    </w:p>
    <w:p w:rsidR="00B67825" w:rsidRDefault="00B67825" w:rsidP="00B67825">
      <w:pPr>
        <w:ind w:firstLine="360"/>
      </w:pPr>
      <w:r>
        <w:t>При этом, по мнению участников парламентских слушаний, такой подход может быть реализован только при условии обеспечения безопасности зданий и сооружений.</w:t>
      </w:r>
    </w:p>
    <w:p w:rsidR="00B67825" w:rsidRDefault="00B67825" w:rsidP="00B67825">
      <w:pPr>
        <w:ind w:firstLine="360"/>
      </w:pPr>
      <w:r>
        <w:t>За последние годы участившиеся случаи обрушений и повреждений объектов капитального строительства и иные аварийные ситуации, повлекшие за собой причинение вреда здоровью и жизни граждан, привели к тому, что был принят целый ряд мер, в том числе на законодательном уровне, направленный на обеспечение безопасности строительства.</w:t>
      </w:r>
    </w:p>
    <w:p w:rsidR="00B67825" w:rsidRDefault="00B67825" w:rsidP="00B67825">
      <w:pPr>
        <w:ind w:firstLine="360"/>
      </w:pPr>
      <w:r>
        <w:t>Основные вопросы правового регулирования обеспечения безопасности зданий и сооружений урегулированы в рамках Градостроительного кодекса Российской Федерации и Федерального закона от 30 декабря 2009 года №384-ФЗ «Технический регламент о безопасности зданий и сооружений». Общие требования пожарной безопасности к зданиям и сооружениям, промышленным объектам установлены Федеральным законом от 22 июля 2008 года №123-ФЗ «Технический регламент о требованиях пожарной безопасности».</w:t>
      </w:r>
    </w:p>
    <w:p w:rsidR="00B67825" w:rsidRDefault="00B67825" w:rsidP="00B67825">
      <w:pPr>
        <w:ind w:firstLine="360"/>
      </w:pPr>
      <w:r>
        <w:lastRenderedPageBreak/>
        <w:t>Учитывая, что зачастую причины обрушения зданий и сооружений связаны с их ненадлежащей эксплуатацией, Федеральным законом от 28.11.2011 №337-ФЗ «О внесении изменений в Градостроительный кодекс Российской Федерации и отдельные законодательные акты Российской Федерации» Градостроительный кодекс Российской Федерации дополнен новой главой, устанавливающей общие требования при эксплуатации зданий, строений, сооружений. Указанные нормы вступили в силу с 1 января 2013 года.</w:t>
      </w:r>
    </w:p>
    <w:p w:rsidR="00B67825" w:rsidRDefault="00B67825" w:rsidP="00B67825">
      <w:pPr>
        <w:ind w:firstLine="360"/>
      </w:pPr>
      <w:r>
        <w:t xml:space="preserve">Ветхое и аварийное состояние наиболее часто является причиной разрушений многоквартирных домов. В целях предотвращения указанной ситуации Федеральным законом от 23 июля 2013 года №240-ФЗ «О внесении изменений в Федеральный закон «О Фонде содействия реформированию жилищно-коммунального хозяйства» деятельность Фонда содействия реформированию жилищно-коммунального хозяйства продлена до 1 января 2018 года. Кроме того, принят Федеральный закон от 25.12.2012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целью которого является формирование необходимых правовых основ для создания в субъектах Российской Федерации 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собственников помещений многоквартирных домов. </w:t>
      </w:r>
    </w:p>
    <w:p w:rsidR="00B67825" w:rsidRDefault="00B67825" w:rsidP="00B67825">
      <w:pPr>
        <w:ind w:firstLine="360"/>
      </w:pPr>
      <w:r>
        <w:t>Кроме того, практика показала, что попытка обеспечить безопасность зданий и сооружений путем усиления роли контролирующих органов не дает положительных результатов. Это привело к тому, что на законодательном уровне во многом был пересмотрен подход к решению данного вопроса – предпринята попытка создать условия, при которых именно собственник объекта капитального строительства был бы заинтересован в качестве его строительства и эксплуатации.</w:t>
      </w:r>
    </w:p>
    <w:p w:rsidR="00B67825" w:rsidRDefault="00B67825" w:rsidP="00B67825">
      <w:pPr>
        <w:ind w:firstLine="360"/>
      </w:pPr>
      <w:r>
        <w:t>Так, Федеральным законом от 27 июля 2010 года №225-ФЗ «Об обязательном страховании гражданской ответственности владельца опасного объекта за причинение вреда в результате аварии на опасном объекте» с 1 января 2012 года установлено требование об обязательном страховании владельцем опасного объекта своей гражданской ответственности за причинение вреда жизни и здоровью физических лиц, имуществу физических и юридических лиц.</w:t>
      </w:r>
    </w:p>
    <w:p w:rsidR="00B67825" w:rsidRDefault="00B67825" w:rsidP="00B67825">
      <w:pPr>
        <w:ind w:firstLine="360"/>
      </w:pPr>
      <w:r>
        <w:t>Федеральным законом от 28.11.2011 №337-ФЗ «О внесении изменений в Градостроительный кодекс Российской Федерации и отдельные законодательные акты Российской Федерации» с 1 июля 2013 года существенным образом изменена структура лиц, на которых возлагается обязанность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а также порядок возмещения такого вреда.</w:t>
      </w:r>
    </w:p>
    <w:p w:rsidR="00B67825" w:rsidRDefault="00B67825" w:rsidP="00B67825">
      <w:pPr>
        <w:ind w:firstLine="360"/>
      </w:pPr>
      <w:r>
        <w:t>Так, возмещение за причиненный вред и обязанность по выплате компенсации возлагается на собственника здания или сооружения. В случае причинения вреда в результате разрушения или повреждения объекта незавершенного строительства аналогичную ответственность несет застройщик или заказчик, а в период действия концессионного соглашения – концессионер.</w:t>
      </w:r>
    </w:p>
    <w:p w:rsidR="00B67825" w:rsidRDefault="00B67825" w:rsidP="00B67825">
      <w:pPr>
        <w:ind w:firstLine="360"/>
      </w:pPr>
      <w:r>
        <w:t>При этом статьей 60 Градостроительного кодекса Российской Федерации предусмотрено, что помимо возмещения вреда, полученного вследствие разрушения, повреждения здания или сооружения, должна выплачиваться компенсация в размере три миллиона рублей в случае смерти потерпевшего, два миллиона рублей – в случае причинения тяжкого вреда здоровью потерпевшего, и один миллион рублей в случае причинения вреда средней тяжести.</w:t>
      </w:r>
    </w:p>
    <w:p w:rsidR="00B67825" w:rsidRDefault="00B67825" w:rsidP="00B67825">
      <w:pPr>
        <w:ind w:firstLine="360"/>
      </w:pPr>
      <w:r>
        <w:t xml:space="preserve">Несмотря на то, что прошло не так много времени с момента вступления в силу указанных положений, и системно оценить регулирующее воздействие указанных норм пока не представляется возможным, по мнению участников парламентских слушаний, такая мера представляется единственным способом побудить граждан и юридических лиц соблюдать повышенные требования к качеству и безопасности зданий и сооружений, в том числе при их эксплуатации, закладывать повышенные требования к разработке проектной </w:t>
      </w:r>
      <w:r>
        <w:lastRenderedPageBreak/>
        <w:t>документации, тщательно отбирать лиц, выполняющих конкретные виды работы, разрабатывать новые стандарты, чтобы не допустить причинения вреда, и, следовательно, наступления ответственности.</w:t>
      </w:r>
    </w:p>
    <w:p w:rsidR="00B67825" w:rsidRDefault="00B67825" w:rsidP="00B67825">
      <w:pPr>
        <w:ind w:firstLine="360"/>
      </w:pPr>
      <w:r>
        <w:t>Участники парламентских слушаний отмечают, что, несмотря на принимаемые законодательные меры, в настоящее время не представляется возможным говорить о качественном улучшении состояния зданий и сооружений.</w:t>
      </w:r>
    </w:p>
    <w:p w:rsidR="00B67825" w:rsidRDefault="00B67825" w:rsidP="00B67825">
      <w:pPr>
        <w:ind w:firstLine="360"/>
      </w:pPr>
      <w:r>
        <w:t>Статистика обрушений зданий и сооружений в России с 1994 года выглядит следующим образом: 1994 год – 21 авария, 1995 – 36 аварий, 1996 год – 31, 1997 год – 27 аварий, 1998 год – 34 аварии. За 2005 год в России обрушилось 40 зданий, по причинам не связанным с бытовыми авариями и террористическими актами, что на 30% больше, чем количество обрушений в 2004 году. В результате обрушений в 2005 году погибло 48 человек.</w:t>
      </w:r>
    </w:p>
    <w:p w:rsidR="00B67825" w:rsidRDefault="00B67825" w:rsidP="00B67825">
      <w:pPr>
        <w:ind w:firstLine="360"/>
      </w:pPr>
      <w:r>
        <w:t>По данным международной группы компаний «Городской центр экспертиз» в России за год – с июня 2012 по июнь 2013 года произошло 58 крупных обрушений, при которых погибли и пострадали люди. По данным экспертов, на несоблюдение технологии проведения строительно-монтажных работ (в том числе правил техники безопасности) приходится 42,8% причин обрушений (в 2012 году – 54,3%). Брак, низкое качество строительных материалов – 2% (в 2012 году – 4,3%). В результате нарушения условий (в том числе сроков) эксплуатации зданий происходит около 51% обрушений (в 2012 году – 34,8%). Ошибки, допущенные при проектировании – 2% (в 2012 году – 6,6%). В 60% случаев обрушения происходят из-за совокупности нарушений, допущенных на различных этапах строительства и эксплуатации зданий.</w:t>
      </w:r>
    </w:p>
    <w:p w:rsidR="00B67825" w:rsidRDefault="00B67825" w:rsidP="00B67825">
      <w:pPr>
        <w:ind w:firstLine="360"/>
      </w:pPr>
      <w:r>
        <w:t>При этом участники парламентских слушаний отмечают, что в Российской Федерации официально не осуществляется учет случаев обрушения и повреждения зданий и сооружений, что затрудняет проведение анализа указанного вопроса.</w:t>
      </w:r>
    </w:p>
    <w:p w:rsidR="00B67825" w:rsidRDefault="00B67825" w:rsidP="00B67825">
      <w:pPr>
        <w:ind w:firstLine="360"/>
      </w:pPr>
      <w:r>
        <w:t>В сфере строительства по данным Национального объединения саморегулируемых организаций, основанных на членстве лиц, осуществляющих строительство, реконструкцию, капитальный ремонт объектов капитального строительства, в период с 1 января по 29 августа 2013 года произошло 288 аварий и происшествий (увеличение на 46,2% по сравнению с аналогичным периодом 2012 года – 197), погибло 194 человека, травмировано 148 человек.</w:t>
      </w:r>
    </w:p>
    <w:p w:rsidR="00B67825" w:rsidRDefault="00B67825" w:rsidP="00B67825">
      <w:pPr>
        <w:ind w:firstLine="360"/>
      </w:pPr>
      <w:r>
        <w:t>Приведенные данные, по мнению участников парламентских слушаний, свидетельствуют об актуальности рассматриваемого вопроса об обеспечении безопасности зданий и сооружений.</w:t>
      </w:r>
    </w:p>
    <w:p w:rsidR="00B67825" w:rsidRDefault="00B67825" w:rsidP="00B67825">
      <w:pPr>
        <w:ind w:firstLine="360"/>
      </w:pPr>
      <w:r>
        <w:t>В настоящее время основной задачей перед законодателем является необходимость найти «золотую середину», которая позволит упростить действительно излишние административные процедуры с одной стороны, но при этом не повлияет на качество производства строительной отрасли.</w:t>
      </w:r>
    </w:p>
    <w:p w:rsidR="00B67825" w:rsidRDefault="00B67825" w:rsidP="00B67825">
      <w:pPr>
        <w:ind w:firstLine="360"/>
      </w:pPr>
      <w:r>
        <w:t>В связи с этим, участники парламентских слушаний в целом поддерживают исключение из дорожной карты мероприятий по отмене обязательности экспертизы, как одной из мер по снижению административных барьеров в соответствии с Распоряжением Правительства РФ №1487-р «Об утверждении плана мероприятий («дорожной карты») «Улучшение предпринимательского климата в сфере строительства» от 16 августа 2012 года.</w:t>
      </w:r>
    </w:p>
    <w:p w:rsidR="00B67825" w:rsidRDefault="00B67825" w:rsidP="00B67825">
      <w:pPr>
        <w:ind w:firstLine="360"/>
      </w:pPr>
      <w:r>
        <w:t>Так, по оценкам Министерства экономического развития Российской Федерации общее количество заключений, ежегодно выдаваемых организациями (органами) государственной экспертизы проектной документации и результатов инженерных изысканий, составляет порядка 67 600 единиц. Общее количество ежегодно выдаваемых в Российской Федерации отрицательных заключений государственной экспертизы проектной документации (результатов инженерных изысканий) составляет от 7 000 до 13 000 единиц, т. Е. 10-20%. При этом из приведенных расчетов следует, что при сохранении доли проектной документации, подготовленной с существенными нарушениями требований безопасности, в общем количестве разработанных проектов, при прочих равных условиях, вероятный совокупный ущерб от строительства объектов с нарушениями в проектной документации составит от 840 до 10 678 миллиардов рублей ежегодно. В свою очередь, ориентировочный положительный эффект отмены может составить около 48 млрд. рублей (при средних затратах в 711 000 на экспертизу одного проекта).</w:t>
      </w:r>
    </w:p>
    <w:p w:rsidR="00B67825" w:rsidRDefault="00B67825" w:rsidP="00B67825">
      <w:pPr>
        <w:ind w:firstLine="360"/>
      </w:pPr>
      <w:r>
        <w:lastRenderedPageBreak/>
        <w:t>Участники парламентских слушаний отмечают, что большое значение для обеспечения безопасности зданий и сооружений является квалификация лиц, участвующих в строительном процессе.</w:t>
      </w:r>
    </w:p>
    <w:p w:rsidR="00B67825" w:rsidRDefault="00B67825" w:rsidP="00B67825">
      <w:pPr>
        <w:ind w:firstLine="360"/>
      </w:pPr>
      <w:r>
        <w:t>С 1 января 2011 года функциями допуска к работам по инженерным изысканиям, проектированию, строительству, которые оказывают влияние на безопасность объектов капитального строительства, в полном объеме наделены саморегулируемые организации в строительной сфере.</w:t>
      </w:r>
    </w:p>
    <w:p w:rsidR="00B67825" w:rsidRDefault="00B67825" w:rsidP="00B67825">
      <w:pPr>
        <w:ind w:firstLine="360"/>
      </w:pPr>
      <w:r>
        <w:t>За время функционирования института саморегулирования в области строительства были достигнуты определенные успехи.</w:t>
      </w:r>
    </w:p>
    <w:p w:rsidR="00B67825" w:rsidRDefault="00B67825" w:rsidP="00B67825">
      <w:pPr>
        <w:ind w:firstLine="360"/>
      </w:pPr>
      <w:r>
        <w:t>Вместе с тем, по мнению участников парламентских слушаний, основные задачи, поставленные перед институтом саморегулированием – повышение качества выполнения инженерных изысканий, осуществление архитектурно-строительного проектирования, строительства, реконструкции, капитального ремонта объектов капитального строительства, допуск на рынок только добросовестных строительных компаний, усиление репутационной ответственности СРО и ее членов, в полной мере достигнуты не были.</w:t>
      </w:r>
    </w:p>
    <w:p w:rsidR="00B67825" w:rsidRDefault="00B67825" w:rsidP="00B67825">
      <w:pPr>
        <w:ind w:firstLine="360"/>
      </w:pPr>
      <w:r>
        <w:t>Представляется, что не последнюю роль в этом сыграли «коммерческие» саморегулируемые организации, с помощью которых можно без каких-либо правовых оснований за один – два дня получить допуск к работам. Как правило, контрольные функции такими СРО за соблюдением их членами требований Градостроительного кодекса Российской Федерации, требований технических регламентов фактически не осуществляются.</w:t>
      </w:r>
    </w:p>
    <w:p w:rsidR="00B67825" w:rsidRDefault="00B67825" w:rsidP="00B67825">
      <w:pPr>
        <w:ind w:firstLine="360"/>
      </w:pPr>
      <w:r>
        <w:t>В связи с этим, участники парламентских слушаний отмечают, что в настоящее время приоритетным направлением должны стать меры по пресечению деятельности таких СРО. В рамках решения данного направления представляется целесообразным усиление ответственности за выдачу свидетельства о допуске к работам, которые оказывают влияние на безопасность объектов капитального строительства, лицам, не соответствующим установленным требованиям, в том числе и не внесшим взнос в компенсационный фонд в полном объеме.</w:t>
      </w:r>
    </w:p>
    <w:p w:rsidR="00B67825" w:rsidRDefault="00B67825" w:rsidP="00B67825">
      <w:pPr>
        <w:ind w:firstLine="360"/>
      </w:pPr>
      <w:r>
        <w:t>В целях обеспечения открытости и прозрачности деятельности саморегулируемых организаций принят Федеральный законом от 7 июня 2013 года №113-ФЗ «О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 Указанный Федеральный закон расширяет перечень требований к саморегулируемым организациям в сфере раскрытия информации о своей деятельности и деятельности членов саморегулируемых организаций (далее также – СРО). Одновременно устанавливаются единые требования к ведению реестра членов СРО независимо от сферы их деятельности, а также перечень сведений, находящихся в открытом или ограниченном доступе.</w:t>
      </w:r>
    </w:p>
    <w:p w:rsidR="00B67825" w:rsidRDefault="00B67825" w:rsidP="00B67825">
      <w:pPr>
        <w:ind w:firstLine="360"/>
      </w:pPr>
      <w:r>
        <w:t>Кроме того, на рассмотрении Государственной Думы находится проект федерального закона №50482-6 «О внесении изменений в Градостроительный кодекс Российской Федерации», которым предлагается уточнить отдельные положения главы 6 Градостроительного кодекса Российской Федерации, в целях повышения информационной открытости саморегулируемых организаций с учетом специфики строительной отрасли.</w:t>
      </w:r>
    </w:p>
    <w:p w:rsidR="00B67825" w:rsidRDefault="00B67825" w:rsidP="00B67825">
      <w:pPr>
        <w:ind w:firstLine="360"/>
      </w:pPr>
      <w:r>
        <w:t>Помимо норм, направленных на повышение информационной открытости, новеллой законопроекта является наделение органа надзора за саморегулируемыми организациями правом по обращению в суд с требованием об исключении саморегулируемой организации в случае несоблюдения саморегулируемой организацией установленных требований к выдаче свидетельства о допуске, что было упущено при введении системы саморегулирования в строительной отрасли.</w:t>
      </w:r>
    </w:p>
    <w:p w:rsidR="00B67825" w:rsidRDefault="00B67825" w:rsidP="00B67825">
      <w:pPr>
        <w:ind w:firstLine="360"/>
      </w:pPr>
      <w:r>
        <w:t>Требует обсуждения и вопрос о необходимости уточнения положений Градостроительного кодекса Российской Федерации в части порядка осуществления контроля саморегулируемой организации за деятельностью своих членов и фиксирования проведенного контроля в форме акта проверки.</w:t>
      </w:r>
    </w:p>
    <w:p w:rsidR="00B67825" w:rsidRDefault="00B67825" w:rsidP="00B67825">
      <w:pPr>
        <w:ind w:firstLine="360"/>
      </w:pPr>
      <w:r>
        <w:t xml:space="preserve">По мнению участников парламентских слушаний, указанный законопроект заслуживает поддержки. Вместе с тем одних законодательных мер недостаточно. Для решения вопроса о пресечении деятельности </w:t>
      </w:r>
      <w:r>
        <w:lastRenderedPageBreak/>
        <w:t>«коммерциализированных» СРО требуется усиление роли контролирующих органов и профессионального сообщества.</w:t>
      </w:r>
    </w:p>
    <w:p w:rsidR="00B67825" w:rsidRDefault="00B67825" w:rsidP="00B67825">
      <w:pPr>
        <w:ind w:firstLine="360"/>
      </w:pPr>
      <w:r>
        <w:t>Другим важным фактором, влияющим на безопасность зданий и сооружений, является качество нормативной базы, устанавливающей требования к выполнению строительных работ.</w:t>
      </w:r>
    </w:p>
    <w:p w:rsidR="00B67825" w:rsidRDefault="00B67825" w:rsidP="00B67825">
      <w:pPr>
        <w:ind w:firstLine="360"/>
      </w:pPr>
      <w:r>
        <w:t>По информации Национального объединения саморегулируемых организаций, основанных на членстве лиц, осуществляющих строительство, реконструкцию, капитальный ремонт объектов капитального строительства (НОСТРОЙ), в настоящее время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распоряжением Правительства РФ от 21 июня 2010 года № 1047-р, включен 91 документ обязательного применения. При этом из 83 сводов правил (СНиП) обязательного применения было актуализировано и утверждено 78 сводов правил (при этом 4 свода правил были объединены в процессе актуализации в 2 свода правил, два свода правил по охране труда не актуализировались в связи с передачей в ведение Минтруда России в соответствии с постановлением Правительства РФ №1160, по одному своду правил актуализация не проводилась), что составляет 94% от общего количества сводов правил. Из 8 национальных стандартов (ГОСТ), включенных в Перечень, 4 ГОСТ были пересмотрены, что составляет 50%.</w:t>
      </w:r>
    </w:p>
    <w:p w:rsidR="00B67825" w:rsidRDefault="00B67825" w:rsidP="00B67825">
      <w:pPr>
        <w:ind w:firstLine="360"/>
      </w:pPr>
      <w:r>
        <w:t>Кроме того, НОСТРОЙ утвердил и рекомендовал саморегулируемым организациям в области строительства (СРО) для применения 126 стандартов (рекомендаций) НОСТРОЙ, более 70 стандартов находятся в разработке. Основной приоритет при этом – обеспечение нормативной базы выполнения и контроля строительных работ, по которым выдаются допуска на право проведения работ (в соответствии с Приказом Минрегиона России от 30.12.2009 №624). В настоящее время 154 СРО – членов НОСТРОЙ по всем 10-ти федеральным округам (60% от общего числа СРО), объединяющих более 65 тысяч строительных компаний, приняли на общих собраниях стандарты НОСТРОЙ (запланировали в повестке очередного общего собрания их рассмотрение и принятие).</w:t>
      </w:r>
    </w:p>
    <w:p w:rsidR="00B67825" w:rsidRDefault="00B67825" w:rsidP="00B67825">
      <w:pPr>
        <w:ind w:firstLine="360"/>
      </w:pPr>
      <w:r>
        <w:t>Вместе с тем, согласно Градостроительному кодексу Российской Федерации разработка и утверждение стандартов саморегулируемых организаций – документов, устанавливающих в соответствии с законодательством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контроля за выполнением указанных работ, является правом, а не обязанностью саморегулируемых организаций.</w:t>
      </w:r>
    </w:p>
    <w:p w:rsidR="00B67825" w:rsidRDefault="00B67825" w:rsidP="00B67825">
      <w:pPr>
        <w:ind w:firstLine="360"/>
      </w:pPr>
      <w:r>
        <w:t>В связи с этим в дополнительной проработке нуждается вопрос об установлении обязанности саморегулируемых организаций принимать свои стандарты или одобрять стандарты, разработанные Национальными объединениями, в целях повышения качества выполняемых их членами работ.</w:t>
      </w:r>
    </w:p>
    <w:p w:rsidR="00B67825" w:rsidRDefault="00B67825" w:rsidP="00B67825">
      <w:pPr>
        <w:ind w:firstLine="360"/>
      </w:pPr>
      <w:r>
        <w:t>Участники парламентских слушаний отмечают, что серьезным фактором снижения безопасности зданий и сооружений является разрозненность нормативных требований к производству строительных материалов, отсутствие единого законодательного акта в этой области.</w:t>
      </w:r>
    </w:p>
    <w:p w:rsidR="00B67825" w:rsidRDefault="00B67825" w:rsidP="00B67825">
      <w:pPr>
        <w:ind w:firstLine="360"/>
      </w:pPr>
      <w:r>
        <w:t>В сентябре 2009 года Государственной Думой был принят в первом чтении проект федерального закона №192544-5 «Технический регламент о безопасности строительных материалов, изделий и конструкций» («Технический регламент «О безопасности строительных материалов и изделий»).</w:t>
      </w:r>
    </w:p>
    <w:p w:rsidR="00B67825" w:rsidRDefault="00B67825" w:rsidP="00B67825">
      <w:pPr>
        <w:ind w:firstLine="360"/>
      </w:pPr>
      <w:r>
        <w:t>Письмом Правительства РФ от 20.10.2010 г. № 5376-п-П7 в Государственную Думу РФ предложено прекратить работы по разработке национальных технических регламентов, находящихся в комитетах Государственной Думы РФ, в связи с разработкой технических регламентов Таможенного союза.</w:t>
      </w:r>
    </w:p>
    <w:p w:rsidR="00B67825" w:rsidRDefault="00B67825" w:rsidP="00B67825">
      <w:pPr>
        <w:ind w:firstLine="360"/>
      </w:pPr>
      <w:r>
        <w:t>В настоящее время проект технического регламента Таможенного союза «О безопасности зданий и сооружений, строительных материалов и изделий» прошел процедуру внутригосударственного согласований.</w:t>
      </w:r>
    </w:p>
    <w:p w:rsidR="00B67825" w:rsidRDefault="00B67825" w:rsidP="00B67825">
      <w:pPr>
        <w:ind w:firstLine="360"/>
      </w:pPr>
      <w:r>
        <w:t xml:space="preserve">В соответствии с пунктами 16-20 Положения о порядке разработки, принятия, внесения изменений и отмены технического регламента Таможенного союза, утвержденного Решением Совета Евразийской экономической комиссии от 20 июня 2012 г. №48, по результатам внутригосударственного согласования, </w:t>
      </w:r>
      <w:r>
        <w:lastRenderedPageBreak/>
        <w:t>проект технического регламента рассматривается на заседании Консультативного комитета с целью представления для рассмотрения на заседание Коллегии Комиссии. Далее, рассмотренный Коллегией проект технического регламента вносится на заседание Совета Комиссии, уполномоченного принять решение о принятии технического регламента.</w:t>
      </w:r>
    </w:p>
    <w:p w:rsidR="00B67825" w:rsidRDefault="00B67825" w:rsidP="00B67825">
      <w:pPr>
        <w:ind w:firstLine="360"/>
      </w:pPr>
      <w:r>
        <w:t>Проект технического регламента Таможенного союза «О безопасности зданий и сооружений, строительных материалов и изделий» оперирует понятиями «продукция строительства», под которой понимаются здания и сооружения любого назначения, форм собственности и ведомственной принадлежности, включающие прилегающие к ним территории в соответствии с градостроительными планами, и вводимые в эксплуатацию после завершения нового строительства, реконструкции или капитального ремонта, «Строительный материал» и «строительное изделие».</w:t>
      </w:r>
    </w:p>
    <w:p w:rsidR="00B67825" w:rsidRDefault="00B67825" w:rsidP="00B67825">
      <w:pPr>
        <w:ind w:firstLine="360"/>
      </w:pPr>
      <w:r>
        <w:t>Проектом технического регламента устанавливаются только общие требования к объектам технического регулирования, конкретные требования принимаются в нормативных документах, номенклатура которых определяется в Перечне нормативных документов, применением которых обеспечивается соблюдение требований технического регламента Таможенного союза «О безопасности зданий и сооружений, строительных материалов и изделий», состоящем из пяти групп: «здания и сооружения в целом вне зависимости от их назначения», «здания и сооружения определенного назначения», «внешние сети, внутренние инженерные системы», «здания и сооружения в части строительных конструкций из различных материалов» и «строительные материалы и изделия».</w:t>
      </w:r>
    </w:p>
    <w:p w:rsidR="00B67825" w:rsidRDefault="00B67825" w:rsidP="00B67825">
      <w:pPr>
        <w:ind w:firstLine="360"/>
      </w:pPr>
      <w:r>
        <w:t>С учетом указанного, участники парламентских слушаний считают необходимым рекомендовать уполномоченным органам Евразийской экономической Комиссии ускорить работу по принятию Технического регламента Таможенного союза «О безопасности зданий и сооружений, строительных материалов и изделий».</w:t>
      </w:r>
    </w:p>
    <w:p w:rsidR="00B67825" w:rsidRDefault="00B67825" w:rsidP="00B67825">
      <w:pPr>
        <w:ind w:firstLine="360"/>
      </w:pPr>
      <w:r>
        <w:t>Участники круглого стола также отмечают, что наиболее часто причиной обрушения зданий является их ветхость и отсутствие необходимых мер по проведению капитального ремонта и (или) реконструкции таких зданий. Указанная проблема особенно актуальна для многоквартирных домов.</w:t>
      </w:r>
    </w:p>
    <w:p w:rsidR="00B67825" w:rsidRDefault="00B67825" w:rsidP="00B67825">
      <w:pPr>
        <w:ind w:firstLine="360"/>
      </w:pPr>
      <w:r>
        <w:t>Так, увеличивается количество жилых помещений, признаваемых ветхими и аварийными, что подтверждается данными Федеральной службы государственной статистики (табл. 3). Причем особую озабоченность вызывает тот факт, что на конец 2011 года 9,1 % всех многоквартирных домов имели от 66 и выше процентов износа, в основном это дома, построенные до 1920 года (4,4%), а также многоквартирные дома, построенные в период с 1921 по 1945 гг. (7,2%) (таблица 4).</w:t>
      </w:r>
    </w:p>
    <w:p w:rsidR="00B67825" w:rsidRDefault="00B67825" w:rsidP="00B67825">
      <w:pPr>
        <w:jc w:val="right"/>
      </w:pPr>
      <w:r>
        <w:t>Таблица 3.</w:t>
      </w:r>
    </w:p>
    <w:p w:rsidR="00B67825" w:rsidRDefault="00B67825" w:rsidP="00B67825">
      <w:pPr>
        <w:jc w:val="center"/>
      </w:pPr>
      <w:r>
        <w:t>Ветхий и аварийный жилищный фонд, на конец года, общая площадь жилых помещений в млн. квадратных метров</w:t>
      </w:r>
    </w:p>
    <w:tbl>
      <w:tblPr>
        <w:tblStyle w:val="a3"/>
        <w:tblW w:w="0" w:type="auto"/>
        <w:tblLook w:val="04A0"/>
      </w:tblPr>
      <w:tblGrid>
        <w:gridCol w:w="3998"/>
        <w:gridCol w:w="663"/>
        <w:gridCol w:w="663"/>
        <w:gridCol w:w="663"/>
        <w:gridCol w:w="663"/>
        <w:gridCol w:w="663"/>
        <w:gridCol w:w="663"/>
        <w:gridCol w:w="663"/>
        <w:gridCol w:w="663"/>
        <w:gridCol w:w="663"/>
        <w:gridCol w:w="717"/>
      </w:tblGrid>
      <w:tr w:rsidR="00B67825" w:rsidTr="00BE0B6F">
        <w:tc>
          <w:tcPr>
            <w:tcW w:w="0" w:type="auto"/>
            <w:vAlign w:val="center"/>
          </w:tcPr>
          <w:p w:rsidR="00B67825" w:rsidRDefault="00B67825" w:rsidP="00BE0B6F">
            <w:pPr>
              <w:jc w:val="center"/>
            </w:pPr>
          </w:p>
        </w:tc>
        <w:tc>
          <w:tcPr>
            <w:tcW w:w="0" w:type="auto"/>
            <w:vAlign w:val="center"/>
          </w:tcPr>
          <w:p w:rsidR="00B67825" w:rsidRDefault="00B67825" w:rsidP="00BE0B6F">
            <w:pPr>
              <w:jc w:val="center"/>
            </w:pPr>
            <w:r>
              <w:t>2003</w:t>
            </w:r>
          </w:p>
        </w:tc>
        <w:tc>
          <w:tcPr>
            <w:tcW w:w="0" w:type="auto"/>
            <w:vAlign w:val="center"/>
          </w:tcPr>
          <w:p w:rsidR="00B67825" w:rsidRDefault="00B67825" w:rsidP="00BE0B6F">
            <w:pPr>
              <w:jc w:val="center"/>
            </w:pPr>
            <w:r>
              <w:t>2004</w:t>
            </w:r>
          </w:p>
        </w:tc>
        <w:tc>
          <w:tcPr>
            <w:tcW w:w="0" w:type="auto"/>
            <w:vAlign w:val="center"/>
          </w:tcPr>
          <w:p w:rsidR="00B67825" w:rsidRDefault="00B67825" w:rsidP="00BE0B6F">
            <w:pPr>
              <w:jc w:val="center"/>
            </w:pPr>
            <w:r>
              <w:t>2005</w:t>
            </w:r>
          </w:p>
        </w:tc>
        <w:tc>
          <w:tcPr>
            <w:tcW w:w="0" w:type="auto"/>
            <w:vAlign w:val="center"/>
          </w:tcPr>
          <w:p w:rsidR="00B67825" w:rsidRDefault="00B67825" w:rsidP="00BE0B6F">
            <w:pPr>
              <w:jc w:val="center"/>
            </w:pPr>
            <w:r>
              <w:t>2006</w:t>
            </w:r>
          </w:p>
        </w:tc>
        <w:tc>
          <w:tcPr>
            <w:tcW w:w="0" w:type="auto"/>
            <w:vAlign w:val="center"/>
          </w:tcPr>
          <w:p w:rsidR="00B67825" w:rsidRDefault="00B67825" w:rsidP="00BE0B6F">
            <w:pPr>
              <w:jc w:val="center"/>
            </w:pPr>
            <w:r>
              <w:t>2007</w:t>
            </w:r>
          </w:p>
        </w:tc>
        <w:tc>
          <w:tcPr>
            <w:tcW w:w="0" w:type="auto"/>
            <w:vAlign w:val="center"/>
          </w:tcPr>
          <w:p w:rsidR="00B67825" w:rsidRDefault="00B67825" w:rsidP="00BE0B6F">
            <w:pPr>
              <w:jc w:val="center"/>
            </w:pPr>
            <w:r>
              <w:t>2008</w:t>
            </w:r>
          </w:p>
        </w:tc>
        <w:tc>
          <w:tcPr>
            <w:tcW w:w="0" w:type="auto"/>
            <w:vAlign w:val="center"/>
          </w:tcPr>
          <w:p w:rsidR="00B67825" w:rsidRDefault="00B67825" w:rsidP="00BE0B6F">
            <w:pPr>
              <w:jc w:val="center"/>
            </w:pPr>
            <w:r>
              <w:t>2009</w:t>
            </w:r>
          </w:p>
        </w:tc>
        <w:tc>
          <w:tcPr>
            <w:tcW w:w="0" w:type="auto"/>
            <w:vAlign w:val="center"/>
          </w:tcPr>
          <w:p w:rsidR="00B67825" w:rsidRDefault="00B67825" w:rsidP="00BE0B6F">
            <w:pPr>
              <w:jc w:val="center"/>
            </w:pPr>
            <w:r>
              <w:t>2010</w:t>
            </w:r>
          </w:p>
        </w:tc>
        <w:tc>
          <w:tcPr>
            <w:tcW w:w="0" w:type="auto"/>
            <w:vAlign w:val="center"/>
          </w:tcPr>
          <w:p w:rsidR="00B67825" w:rsidRDefault="00B67825" w:rsidP="00BE0B6F">
            <w:pPr>
              <w:jc w:val="center"/>
            </w:pPr>
            <w:r>
              <w:t>2011</w:t>
            </w:r>
          </w:p>
        </w:tc>
        <w:tc>
          <w:tcPr>
            <w:tcW w:w="0" w:type="auto"/>
            <w:vAlign w:val="center"/>
          </w:tcPr>
          <w:p w:rsidR="00B67825" w:rsidRDefault="00B67825" w:rsidP="00BE0B6F">
            <w:pPr>
              <w:jc w:val="center"/>
            </w:pPr>
            <w:r>
              <w:t>2012</w:t>
            </w:r>
          </w:p>
        </w:tc>
      </w:tr>
      <w:tr w:rsidR="00B67825" w:rsidTr="00BE0B6F">
        <w:tc>
          <w:tcPr>
            <w:tcW w:w="0" w:type="auto"/>
            <w:vAlign w:val="center"/>
          </w:tcPr>
          <w:p w:rsidR="00B67825" w:rsidRDefault="00B67825" w:rsidP="00BE0B6F">
            <w:pPr>
              <w:jc w:val="center"/>
            </w:pPr>
            <w:r>
              <w:t>Весь ветхий и аварийный жилищный фонд</w:t>
            </w:r>
          </w:p>
        </w:tc>
        <w:tc>
          <w:tcPr>
            <w:tcW w:w="0" w:type="auto"/>
            <w:vAlign w:val="center"/>
          </w:tcPr>
          <w:p w:rsidR="00B67825" w:rsidRDefault="00B67825" w:rsidP="00BE0B6F">
            <w:pPr>
              <w:jc w:val="center"/>
            </w:pPr>
            <w:r>
              <w:t>91,6</w:t>
            </w:r>
          </w:p>
        </w:tc>
        <w:tc>
          <w:tcPr>
            <w:tcW w:w="0" w:type="auto"/>
            <w:vAlign w:val="center"/>
          </w:tcPr>
          <w:p w:rsidR="00B67825" w:rsidRDefault="00B67825" w:rsidP="00BE0B6F">
            <w:pPr>
              <w:jc w:val="center"/>
            </w:pPr>
            <w:r>
              <w:t>93,0</w:t>
            </w:r>
          </w:p>
        </w:tc>
        <w:tc>
          <w:tcPr>
            <w:tcW w:w="0" w:type="auto"/>
            <w:vAlign w:val="center"/>
          </w:tcPr>
          <w:p w:rsidR="00B67825" w:rsidRDefault="00B67825" w:rsidP="00BE0B6F">
            <w:pPr>
              <w:jc w:val="center"/>
            </w:pPr>
            <w:r>
              <w:t>94,6</w:t>
            </w:r>
          </w:p>
        </w:tc>
        <w:tc>
          <w:tcPr>
            <w:tcW w:w="0" w:type="auto"/>
            <w:vAlign w:val="center"/>
          </w:tcPr>
          <w:p w:rsidR="00B67825" w:rsidRDefault="00B67825" w:rsidP="00BE0B6F">
            <w:pPr>
              <w:jc w:val="center"/>
            </w:pPr>
            <w:r>
              <w:t>95,9</w:t>
            </w:r>
          </w:p>
        </w:tc>
        <w:tc>
          <w:tcPr>
            <w:tcW w:w="0" w:type="auto"/>
            <w:vAlign w:val="center"/>
          </w:tcPr>
          <w:p w:rsidR="00B67825" w:rsidRDefault="00B67825" w:rsidP="00BE0B6F">
            <w:pPr>
              <w:jc w:val="center"/>
            </w:pPr>
            <w:r>
              <w:t>99,1</w:t>
            </w:r>
          </w:p>
        </w:tc>
        <w:tc>
          <w:tcPr>
            <w:tcW w:w="0" w:type="auto"/>
            <w:vAlign w:val="center"/>
          </w:tcPr>
          <w:p w:rsidR="00B67825" w:rsidRDefault="00B67825" w:rsidP="00BE0B6F">
            <w:pPr>
              <w:jc w:val="center"/>
            </w:pPr>
            <w:r>
              <w:t>99,7</w:t>
            </w:r>
          </w:p>
        </w:tc>
        <w:tc>
          <w:tcPr>
            <w:tcW w:w="0" w:type="auto"/>
            <w:vAlign w:val="center"/>
          </w:tcPr>
          <w:p w:rsidR="00B67825" w:rsidRDefault="00B67825" w:rsidP="00BE0B6F">
            <w:pPr>
              <w:jc w:val="center"/>
            </w:pPr>
            <w:r>
              <w:t>99,5</w:t>
            </w:r>
          </w:p>
        </w:tc>
        <w:tc>
          <w:tcPr>
            <w:tcW w:w="0" w:type="auto"/>
            <w:vAlign w:val="center"/>
          </w:tcPr>
          <w:p w:rsidR="00B67825" w:rsidRDefault="00B67825" w:rsidP="00BE0B6F">
            <w:pPr>
              <w:jc w:val="center"/>
            </w:pPr>
            <w:r>
              <w:t>99,4</w:t>
            </w:r>
          </w:p>
        </w:tc>
        <w:tc>
          <w:tcPr>
            <w:tcW w:w="0" w:type="auto"/>
            <w:vAlign w:val="center"/>
          </w:tcPr>
          <w:p w:rsidR="00B67825" w:rsidRDefault="00B67825" w:rsidP="00BE0B6F">
            <w:pPr>
              <w:jc w:val="center"/>
            </w:pPr>
            <w:r>
              <w:t>98,9</w:t>
            </w:r>
          </w:p>
        </w:tc>
        <w:tc>
          <w:tcPr>
            <w:tcW w:w="0" w:type="auto"/>
            <w:vAlign w:val="center"/>
          </w:tcPr>
          <w:p w:rsidR="00B67825" w:rsidRDefault="00B67825" w:rsidP="00BE0B6F">
            <w:pPr>
              <w:jc w:val="center"/>
            </w:pPr>
            <w:r>
              <w:t>100,1</w:t>
            </w:r>
          </w:p>
        </w:tc>
      </w:tr>
      <w:tr w:rsidR="00B67825" w:rsidTr="00BE0B6F">
        <w:tc>
          <w:tcPr>
            <w:tcW w:w="0" w:type="auto"/>
            <w:vAlign w:val="center"/>
          </w:tcPr>
          <w:p w:rsidR="00B67825" w:rsidRDefault="00B67825" w:rsidP="00BE0B6F">
            <w:pPr>
              <w:jc w:val="center"/>
            </w:pPr>
            <w:r>
              <w:t>В том числе:</w:t>
            </w:r>
          </w:p>
        </w:tc>
        <w:tc>
          <w:tcPr>
            <w:tcW w:w="0" w:type="auto"/>
            <w:gridSpan w:val="10"/>
            <w:vAlign w:val="center"/>
          </w:tcPr>
          <w:p w:rsidR="00B67825" w:rsidRDefault="00B67825" w:rsidP="00BE0B6F">
            <w:pPr>
              <w:jc w:val="center"/>
            </w:pPr>
          </w:p>
        </w:tc>
      </w:tr>
      <w:tr w:rsidR="00B67825" w:rsidTr="00BE0B6F">
        <w:tc>
          <w:tcPr>
            <w:tcW w:w="0" w:type="auto"/>
            <w:vAlign w:val="center"/>
          </w:tcPr>
          <w:p w:rsidR="00B67825" w:rsidRDefault="00B67825" w:rsidP="00BE0B6F">
            <w:pPr>
              <w:jc w:val="center"/>
            </w:pPr>
            <w:r>
              <w:t>Ветхий жилищный фонд</w:t>
            </w:r>
          </w:p>
        </w:tc>
        <w:tc>
          <w:tcPr>
            <w:tcW w:w="0" w:type="auto"/>
            <w:vAlign w:val="center"/>
          </w:tcPr>
          <w:p w:rsidR="00B67825" w:rsidRDefault="00B67825" w:rsidP="00BE0B6F">
            <w:pPr>
              <w:jc w:val="center"/>
            </w:pPr>
            <w:r>
              <w:t>78,4</w:t>
            </w:r>
          </w:p>
        </w:tc>
        <w:tc>
          <w:tcPr>
            <w:tcW w:w="0" w:type="auto"/>
            <w:vAlign w:val="center"/>
          </w:tcPr>
          <w:p w:rsidR="00B67825" w:rsidRDefault="00B67825" w:rsidP="00BE0B6F">
            <w:pPr>
              <w:jc w:val="center"/>
            </w:pPr>
            <w:r>
              <w:t>81,8</w:t>
            </w:r>
          </w:p>
        </w:tc>
        <w:tc>
          <w:tcPr>
            <w:tcW w:w="0" w:type="auto"/>
            <w:vAlign w:val="center"/>
          </w:tcPr>
          <w:p w:rsidR="00B67825" w:rsidRDefault="00B67825" w:rsidP="00BE0B6F">
            <w:pPr>
              <w:jc w:val="center"/>
            </w:pPr>
            <w:r>
              <w:t>83,4</w:t>
            </w:r>
          </w:p>
        </w:tc>
        <w:tc>
          <w:tcPr>
            <w:tcW w:w="0" w:type="auto"/>
            <w:vAlign w:val="center"/>
          </w:tcPr>
          <w:p w:rsidR="00B67825" w:rsidRDefault="00B67825" w:rsidP="00BE0B6F">
            <w:pPr>
              <w:jc w:val="center"/>
            </w:pPr>
            <w:r>
              <w:t>83,2</w:t>
            </w:r>
          </w:p>
        </w:tc>
        <w:tc>
          <w:tcPr>
            <w:tcW w:w="0" w:type="auto"/>
            <w:vAlign w:val="center"/>
          </w:tcPr>
          <w:p w:rsidR="00B67825" w:rsidRDefault="00B67825" w:rsidP="00BE0B6F">
            <w:pPr>
              <w:jc w:val="center"/>
            </w:pPr>
            <w:r>
              <w:t>84</w:t>
            </w:r>
          </w:p>
        </w:tc>
        <w:tc>
          <w:tcPr>
            <w:tcW w:w="0" w:type="auto"/>
            <w:vAlign w:val="center"/>
          </w:tcPr>
          <w:p w:rsidR="00B67825" w:rsidRDefault="00B67825" w:rsidP="00BE0B6F">
            <w:pPr>
              <w:jc w:val="center"/>
            </w:pPr>
            <w:r>
              <w:t>83,2</w:t>
            </w:r>
          </w:p>
        </w:tc>
        <w:tc>
          <w:tcPr>
            <w:tcW w:w="0" w:type="auto"/>
            <w:vAlign w:val="center"/>
          </w:tcPr>
          <w:p w:rsidR="00B67825" w:rsidRDefault="00B67825" w:rsidP="00BE0B6F">
            <w:pPr>
              <w:jc w:val="center"/>
            </w:pPr>
            <w:r>
              <w:t>80,1</w:t>
            </w:r>
          </w:p>
        </w:tc>
        <w:tc>
          <w:tcPr>
            <w:tcW w:w="0" w:type="auto"/>
            <w:vAlign w:val="center"/>
          </w:tcPr>
          <w:p w:rsidR="00B67825" w:rsidRDefault="00B67825" w:rsidP="00BE0B6F">
            <w:pPr>
              <w:jc w:val="center"/>
            </w:pPr>
            <w:r>
              <w:t>78,9</w:t>
            </w:r>
          </w:p>
        </w:tc>
        <w:tc>
          <w:tcPr>
            <w:tcW w:w="0" w:type="auto"/>
            <w:vAlign w:val="center"/>
          </w:tcPr>
          <w:p w:rsidR="00B67825" w:rsidRDefault="00B67825" w:rsidP="00BE0B6F">
            <w:pPr>
              <w:jc w:val="center"/>
            </w:pPr>
            <w:r>
              <w:t>78,4</w:t>
            </w:r>
          </w:p>
        </w:tc>
        <w:tc>
          <w:tcPr>
            <w:tcW w:w="0" w:type="auto"/>
            <w:vAlign w:val="center"/>
          </w:tcPr>
          <w:p w:rsidR="00B67825" w:rsidRDefault="00B67825" w:rsidP="00BE0B6F">
            <w:pPr>
              <w:jc w:val="center"/>
            </w:pPr>
            <w:r>
              <w:t>77,7</w:t>
            </w:r>
          </w:p>
        </w:tc>
      </w:tr>
      <w:tr w:rsidR="00B67825" w:rsidTr="00BE0B6F">
        <w:tc>
          <w:tcPr>
            <w:tcW w:w="0" w:type="auto"/>
            <w:vAlign w:val="center"/>
          </w:tcPr>
          <w:p w:rsidR="00B67825" w:rsidRDefault="00B67825" w:rsidP="00BE0B6F">
            <w:pPr>
              <w:jc w:val="center"/>
            </w:pPr>
            <w:r>
              <w:t>Аварийный жилищный фонд</w:t>
            </w:r>
          </w:p>
        </w:tc>
        <w:tc>
          <w:tcPr>
            <w:tcW w:w="0" w:type="auto"/>
            <w:vAlign w:val="center"/>
          </w:tcPr>
          <w:p w:rsidR="00B67825" w:rsidRDefault="00B67825" w:rsidP="00BE0B6F">
            <w:pPr>
              <w:jc w:val="center"/>
            </w:pPr>
            <w:r>
              <w:t>13,2</w:t>
            </w:r>
          </w:p>
        </w:tc>
        <w:tc>
          <w:tcPr>
            <w:tcW w:w="0" w:type="auto"/>
            <w:vAlign w:val="center"/>
          </w:tcPr>
          <w:p w:rsidR="00B67825" w:rsidRDefault="00B67825" w:rsidP="00BE0B6F">
            <w:pPr>
              <w:jc w:val="center"/>
            </w:pPr>
            <w:r>
              <w:t>11,2</w:t>
            </w:r>
          </w:p>
        </w:tc>
        <w:tc>
          <w:tcPr>
            <w:tcW w:w="0" w:type="auto"/>
            <w:vAlign w:val="center"/>
          </w:tcPr>
          <w:p w:rsidR="00B67825" w:rsidRDefault="00B67825" w:rsidP="00BE0B6F">
            <w:pPr>
              <w:jc w:val="center"/>
            </w:pPr>
            <w:r>
              <w:t>11,2</w:t>
            </w:r>
          </w:p>
        </w:tc>
        <w:tc>
          <w:tcPr>
            <w:tcW w:w="0" w:type="auto"/>
            <w:vAlign w:val="center"/>
          </w:tcPr>
          <w:p w:rsidR="00B67825" w:rsidRDefault="00B67825" w:rsidP="00BE0B6F">
            <w:pPr>
              <w:jc w:val="center"/>
            </w:pPr>
            <w:r>
              <w:t>12,7</w:t>
            </w:r>
          </w:p>
        </w:tc>
        <w:tc>
          <w:tcPr>
            <w:tcW w:w="0" w:type="auto"/>
            <w:vAlign w:val="center"/>
          </w:tcPr>
          <w:p w:rsidR="00B67825" w:rsidRDefault="00B67825" w:rsidP="00BE0B6F">
            <w:pPr>
              <w:jc w:val="center"/>
            </w:pPr>
            <w:r>
              <w:t>15,1</w:t>
            </w:r>
          </w:p>
        </w:tc>
        <w:tc>
          <w:tcPr>
            <w:tcW w:w="0" w:type="auto"/>
            <w:vAlign w:val="center"/>
          </w:tcPr>
          <w:p w:rsidR="00B67825" w:rsidRDefault="00B67825" w:rsidP="00BE0B6F">
            <w:pPr>
              <w:jc w:val="center"/>
            </w:pPr>
            <w:r>
              <w:t>16,5</w:t>
            </w:r>
          </w:p>
        </w:tc>
        <w:tc>
          <w:tcPr>
            <w:tcW w:w="0" w:type="auto"/>
            <w:vAlign w:val="center"/>
          </w:tcPr>
          <w:p w:rsidR="00B67825" w:rsidRDefault="00B67825" w:rsidP="00BE0B6F">
            <w:pPr>
              <w:jc w:val="center"/>
            </w:pPr>
            <w:r>
              <w:t>19,4</w:t>
            </w:r>
          </w:p>
        </w:tc>
        <w:tc>
          <w:tcPr>
            <w:tcW w:w="0" w:type="auto"/>
            <w:vAlign w:val="center"/>
          </w:tcPr>
          <w:p w:rsidR="00B67825" w:rsidRDefault="00B67825" w:rsidP="00BE0B6F">
            <w:pPr>
              <w:jc w:val="center"/>
            </w:pPr>
            <w:r>
              <w:t>20,5</w:t>
            </w:r>
          </w:p>
        </w:tc>
        <w:tc>
          <w:tcPr>
            <w:tcW w:w="0" w:type="auto"/>
            <w:vAlign w:val="center"/>
          </w:tcPr>
          <w:p w:rsidR="00B67825" w:rsidRDefault="00B67825" w:rsidP="00BE0B6F">
            <w:pPr>
              <w:jc w:val="center"/>
            </w:pPr>
            <w:r>
              <w:t>20,5</w:t>
            </w:r>
          </w:p>
        </w:tc>
        <w:tc>
          <w:tcPr>
            <w:tcW w:w="0" w:type="auto"/>
            <w:vAlign w:val="center"/>
          </w:tcPr>
          <w:p w:rsidR="00B67825" w:rsidRDefault="00B67825" w:rsidP="00BE0B6F">
            <w:pPr>
              <w:jc w:val="center"/>
            </w:pPr>
            <w:r>
              <w:t>11,4</w:t>
            </w:r>
          </w:p>
        </w:tc>
      </w:tr>
      <w:tr w:rsidR="00B67825" w:rsidTr="00BE0B6F">
        <w:tc>
          <w:tcPr>
            <w:tcW w:w="0" w:type="auto"/>
            <w:vAlign w:val="center"/>
          </w:tcPr>
          <w:p w:rsidR="00B67825" w:rsidRDefault="00B67825" w:rsidP="00BE0B6F">
            <w:pPr>
              <w:jc w:val="center"/>
            </w:pPr>
            <w:r>
              <w:t>Удельный вес ветхого и аварийного жилищного фонда в общей площади всего жилищного фонда, процентов</w:t>
            </w:r>
          </w:p>
        </w:tc>
        <w:tc>
          <w:tcPr>
            <w:tcW w:w="0" w:type="auto"/>
            <w:vAlign w:val="center"/>
          </w:tcPr>
          <w:p w:rsidR="00B67825" w:rsidRDefault="00B67825" w:rsidP="00BE0B6F">
            <w:pPr>
              <w:jc w:val="center"/>
            </w:pPr>
            <w:r>
              <w:t>3,2</w:t>
            </w:r>
          </w:p>
        </w:tc>
        <w:tc>
          <w:tcPr>
            <w:tcW w:w="0" w:type="auto"/>
            <w:vAlign w:val="center"/>
          </w:tcPr>
          <w:p w:rsidR="00B67825" w:rsidRDefault="00B67825" w:rsidP="00BE0B6F">
            <w:pPr>
              <w:jc w:val="center"/>
            </w:pPr>
            <w:r>
              <w:t>3,2</w:t>
            </w:r>
          </w:p>
        </w:tc>
        <w:tc>
          <w:tcPr>
            <w:tcW w:w="0" w:type="auto"/>
            <w:vAlign w:val="center"/>
          </w:tcPr>
          <w:p w:rsidR="00B67825" w:rsidRDefault="00B67825" w:rsidP="00BE0B6F">
            <w:pPr>
              <w:jc w:val="center"/>
            </w:pPr>
            <w:r>
              <w:t>3,2</w:t>
            </w:r>
          </w:p>
        </w:tc>
        <w:tc>
          <w:tcPr>
            <w:tcW w:w="0" w:type="auto"/>
            <w:vAlign w:val="center"/>
          </w:tcPr>
          <w:p w:rsidR="00B67825" w:rsidRDefault="00B67825" w:rsidP="00BE0B6F">
            <w:pPr>
              <w:jc w:val="center"/>
            </w:pPr>
            <w:r>
              <w:t>3,2</w:t>
            </w:r>
          </w:p>
        </w:tc>
        <w:tc>
          <w:tcPr>
            <w:tcW w:w="0" w:type="auto"/>
            <w:vAlign w:val="center"/>
          </w:tcPr>
          <w:p w:rsidR="00B67825" w:rsidRDefault="00B67825" w:rsidP="00BE0B6F">
            <w:pPr>
              <w:jc w:val="center"/>
            </w:pPr>
            <w:r>
              <w:t>3,2</w:t>
            </w:r>
          </w:p>
        </w:tc>
        <w:tc>
          <w:tcPr>
            <w:tcW w:w="0" w:type="auto"/>
            <w:vAlign w:val="center"/>
          </w:tcPr>
          <w:p w:rsidR="00B67825" w:rsidRDefault="00B67825" w:rsidP="00BE0B6F">
            <w:pPr>
              <w:jc w:val="center"/>
            </w:pPr>
            <w:r>
              <w:t>3,2</w:t>
            </w:r>
          </w:p>
        </w:tc>
        <w:tc>
          <w:tcPr>
            <w:tcW w:w="0" w:type="auto"/>
            <w:vAlign w:val="center"/>
          </w:tcPr>
          <w:p w:rsidR="00B67825" w:rsidRDefault="00B67825" w:rsidP="00BE0B6F">
            <w:pPr>
              <w:jc w:val="center"/>
            </w:pPr>
            <w:r>
              <w:t>3,1</w:t>
            </w:r>
          </w:p>
        </w:tc>
        <w:tc>
          <w:tcPr>
            <w:tcW w:w="0" w:type="auto"/>
            <w:vAlign w:val="center"/>
          </w:tcPr>
          <w:p w:rsidR="00B67825" w:rsidRDefault="00B67825" w:rsidP="00BE0B6F">
            <w:pPr>
              <w:jc w:val="center"/>
            </w:pPr>
            <w:r>
              <w:t>3,1</w:t>
            </w:r>
          </w:p>
        </w:tc>
        <w:tc>
          <w:tcPr>
            <w:tcW w:w="0" w:type="auto"/>
            <w:vAlign w:val="center"/>
          </w:tcPr>
          <w:p w:rsidR="00B67825" w:rsidRDefault="00B67825" w:rsidP="00BE0B6F">
            <w:pPr>
              <w:jc w:val="center"/>
            </w:pPr>
            <w:r>
              <w:t>3,0</w:t>
            </w:r>
          </w:p>
        </w:tc>
        <w:tc>
          <w:tcPr>
            <w:tcW w:w="0" w:type="auto"/>
            <w:vAlign w:val="center"/>
          </w:tcPr>
          <w:p w:rsidR="00B67825" w:rsidRDefault="00B67825" w:rsidP="00BE0B6F">
            <w:pPr>
              <w:jc w:val="center"/>
            </w:pPr>
            <w:r>
              <w:t>3,0</w:t>
            </w:r>
          </w:p>
        </w:tc>
      </w:tr>
    </w:tbl>
    <w:p w:rsidR="00B67825" w:rsidRDefault="00B67825" w:rsidP="00B67825">
      <w:pPr>
        <w:jc w:val="center"/>
      </w:pPr>
    </w:p>
    <w:p w:rsidR="00B67825" w:rsidRDefault="00B67825" w:rsidP="00B67825">
      <w:pPr>
        <w:jc w:val="right"/>
      </w:pPr>
      <w:r>
        <w:t>Таблица 4.</w:t>
      </w:r>
    </w:p>
    <w:p w:rsidR="00B67825" w:rsidRDefault="00B67825" w:rsidP="00B67825">
      <w:pPr>
        <w:jc w:val="center"/>
      </w:pPr>
      <w:r>
        <w:t>Распределение жилищного фонда по годам постройки и проценту износа в 2011 году</w:t>
      </w:r>
    </w:p>
    <w:p w:rsidR="00B67825" w:rsidRDefault="00B67825" w:rsidP="00B67825">
      <w:pPr>
        <w:jc w:val="right"/>
      </w:pPr>
      <w:r>
        <w:t>На конец года; в процентах</w:t>
      </w:r>
    </w:p>
    <w:tbl>
      <w:tblPr>
        <w:tblStyle w:val="a3"/>
        <w:tblW w:w="0" w:type="auto"/>
        <w:tblLook w:val="04A0"/>
      </w:tblPr>
      <w:tblGrid>
        <w:gridCol w:w="2614"/>
        <w:gridCol w:w="2614"/>
        <w:gridCol w:w="2614"/>
        <w:gridCol w:w="2614"/>
      </w:tblGrid>
      <w:tr w:rsidR="00B67825" w:rsidTr="00BE0B6F">
        <w:tc>
          <w:tcPr>
            <w:tcW w:w="2614" w:type="dxa"/>
          </w:tcPr>
          <w:p w:rsidR="00B67825" w:rsidRDefault="00B67825" w:rsidP="00BE0B6F">
            <w:pPr>
              <w:jc w:val="center"/>
            </w:pPr>
          </w:p>
        </w:tc>
        <w:tc>
          <w:tcPr>
            <w:tcW w:w="2614" w:type="dxa"/>
          </w:tcPr>
          <w:p w:rsidR="00B67825" w:rsidRDefault="00B67825" w:rsidP="00BE0B6F">
            <w:pPr>
              <w:jc w:val="center"/>
            </w:pPr>
            <w:r>
              <w:t>Общая площадь жилых помещений</w:t>
            </w:r>
          </w:p>
        </w:tc>
        <w:tc>
          <w:tcPr>
            <w:tcW w:w="2614" w:type="dxa"/>
          </w:tcPr>
          <w:p w:rsidR="00B67825" w:rsidRDefault="00B67825" w:rsidP="00BE0B6F">
            <w:pPr>
              <w:jc w:val="center"/>
            </w:pPr>
            <w:r>
              <w:t>Число жилых домов (индивидуально-определенных зданий)</w:t>
            </w:r>
          </w:p>
        </w:tc>
        <w:tc>
          <w:tcPr>
            <w:tcW w:w="2614" w:type="dxa"/>
          </w:tcPr>
          <w:p w:rsidR="00B67825" w:rsidRDefault="00B67825" w:rsidP="00BE0B6F">
            <w:pPr>
              <w:jc w:val="center"/>
            </w:pPr>
            <w:r>
              <w:t>Число многоквартирных жилых домов</w:t>
            </w:r>
          </w:p>
        </w:tc>
      </w:tr>
      <w:tr w:rsidR="00B67825" w:rsidTr="00BE0B6F">
        <w:tc>
          <w:tcPr>
            <w:tcW w:w="2614" w:type="dxa"/>
          </w:tcPr>
          <w:p w:rsidR="00B67825" w:rsidRDefault="00B67825" w:rsidP="00BE0B6F">
            <w:r w:rsidRPr="00B3574B">
              <w:rPr>
                <w:b/>
              </w:rPr>
              <w:t>По годам возведения:</w:t>
            </w:r>
            <w:r>
              <w:br/>
              <w:t>до 1920</w:t>
            </w:r>
          </w:p>
        </w:tc>
        <w:tc>
          <w:tcPr>
            <w:tcW w:w="2614" w:type="dxa"/>
          </w:tcPr>
          <w:p w:rsidR="00B67825" w:rsidRDefault="00B67825" w:rsidP="00BE0B6F">
            <w:pPr>
              <w:jc w:val="center"/>
            </w:pPr>
            <w:r>
              <w:t>2,6</w:t>
            </w:r>
          </w:p>
        </w:tc>
        <w:tc>
          <w:tcPr>
            <w:tcW w:w="2614" w:type="dxa"/>
          </w:tcPr>
          <w:p w:rsidR="00B67825" w:rsidRDefault="00B67825" w:rsidP="00BE0B6F">
            <w:pPr>
              <w:jc w:val="center"/>
            </w:pPr>
            <w:r>
              <w:t>4,9</w:t>
            </w:r>
          </w:p>
        </w:tc>
        <w:tc>
          <w:tcPr>
            <w:tcW w:w="2614" w:type="dxa"/>
          </w:tcPr>
          <w:p w:rsidR="00B67825" w:rsidRDefault="00B67825" w:rsidP="00BE0B6F">
            <w:pPr>
              <w:jc w:val="center"/>
            </w:pPr>
            <w:r>
              <w:t>4,4</w:t>
            </w:r>
          </w:p>
        </w:tc>
      </w:tr>
      <w:tr w:rsidR="00B67825" w:rsidTr="00BE0B6F">
        <w:tc>
          <w:tcPr>
            <w:tcW w:w="2614" w:type="dxa"/>
          </w:tcPr>
          <w:p w:rsidR="00B67825" w:rsidRDefault="00B67825" w:rsidP="00BE0B6F">
            <w:r>
              <w:t>1921-1945</w:t>
            </w:r>
          </w:p>
        </w:tc>
        <w:tc>
          <w:tcPr>
            <w:tcW w:w="2614" w:type="dxa"/>
          </w:tcPr>
          <w:p w:rsidR="00B67825" w:rsidRDefault="00B67825" w:rsidP="00BE0B6F">
            <w:pPr>
              <w:jc w:val="center"/>
            </w:pPr>
            <w:r>
              <w:t>4,5</w:t>
            </w:r>
          </w:p>
        </w:tc>
        <w:tc>
          <w:tcPr>
            <w:tcW w:w="2614" w:type="dxa"/>
          </w:tcPr>
          <w:p w:rsidR="00B67825" w:rsidRDefault="00B67825" w:rsidP="00BE0B6F">
            <w:pPr>
              <w:jc w:val="center"/>
            </w:pPr>
            <w:r>
              <w:t>10,2</w:t>
            </w:r>
          </w:p>
        </w:tc>
        <w:tc>
          <w:tcPr>
            <w:tcW w:w="2614" w:type="dxa"/>
          </w:tcPr>
          <w:p w:rsidR="00B67825" w:rsidRDefault="00B67825" w:rsidP="00BE0B6F">
            <w:pPr>
              <w:jc w:val="center"/>
            </w:pPr>
            <w:r>
              <w:t>7,2</w:t>
            </w:r>
          </w:p>
        </w:tc>
      </w:tr>
      <w:tr w:rsidR="00B67825" w:rsidTr="00BE0B6F">
        <w:tc>
          <w:tcPr>
            <w:tcW w:w="2614" w:type="dxa"/>
          </w:tcPr>
          <w:p w:rsidR="00B67825" w:rsidRDefault="00B67825" w:rsidP="00BE0B6F">
            <w:r>
              <w:t>1946-1970</w:t>
            </w:r>
          </w:p>
        </w:tc>
        <w:tc>
          <w:tcPr>
            <w:tcW w:w="2614" w:type="dxa"/>
          </w:tcPr>
          <w:p w:rsidR="00B67825" w:rsidRDefault="00B67825" w:rsidP="00BE0B6F">
            <w:pPr>
              <w:jc w:val="center"/>
            </w:pPr>
            <w:r>
              <w:t>29,7</w:t>
            </w:r>
          </w:p>
        </w:tc>
        <w:tc>
          <w:tcPr>
            <w:tcW w:w="2614" w:type="dxa"/>
          </w:tcPr>
          <w:p w:rsidR="00B67825" w:rsidRDefault="00B67825" w:rsidP="00BE0B6F">
            <w:pPr>
              <w:jc w:val="center"/>
            </w:pPr>
            <w:r>
              <w:t>43,3</w:t>
            </w:r>
          </w:p>
        </w:tc>
        <w:tc>
          <w:tcPr>
            <w:tcW w:w="2614" w:type="dxa"/>
          </w:tcPr>
          <w:p w:rsidR="00B67825" w:rsidRDefault="00B67825" w:rsidP="00BE0B6F">
            <w:pPr>
              <w:jc w:val="center"/>
            </w:pPr>
            <w:r>
              <w:t>36,9</w:t>
            </w:r>
          </w:p>
        </w:tc>
      </w:tr>
      <w:tr w:rsidR="00B67825" w:rsidTr="00BE0B6F">
        <w:tc>
          <w:tcPr>
            <w:tcW w:w="2614" w:type="dxa"/>
          </w:tcPr>
          <w:p w:rsidR="00B67825" w:rsidRDefault="00B67825" w:rsidP="00BE0B6F">
            <w:r>
              <w:t>1971-1995</w:t>
            </w:r>
          </w:p>
        </w:tc>
        <w:tc>
          <w:tcPr>
            <w:tcW w:w="2614" w:type="dxa"/>
          </w:tcPr>
          <w:p w:rsidR="00B67825" w:rsidRDefault="00B67825" w:rsidP="00BE0B6F">
            <w:pPr>
              <w:jc w:val="center"/>
            </w:pPr>
            <w:r>
              <w:t>42,5</w:t>
            </w:r>
          </w:p>
        </w:tc>
        <w:tc>
          <w:tcPr>
            <w:tcW w:w="2614" w:type="dxa"/>
          </w:tcPr>
          <w:p w:rsidR="00B67825" w:rsidRDefault="00B67825" w:rsidP="00BE0B6F">
            <w:pPr>
              <w:jc w:val="center"/>
            </w:pPr>
            <w:r>
              <w:t>27,7</w:t>
            </w:r>
          </w:p>
        </w:tc>
        <w:tc>
          <w:tcPr>
            <w:tcW w:w="2614" w:type="dxa"/>
          </w:tcPr>
          <w:p w:rsidR="00B67825" w:rsidRDefault="00B67825" w:rsidP="00BE0B6F">
            <w:pPr>
              <w:jc w:val="center"/>
            </w:pPr>
            <w:r>
              <w:t>44,1</w:t>
            </w:r>
          </w:p>
        </w:tc>
      </w:tr>
      <w:tr w:rsidR="00B67825" w:rsidTr="00BE0B6F">
        <w:tc>
          <w:tcPr>
            <w:tcW w:w="2614" w:type="dxa"/>
          </w:tcPr>
          <w:p w:rsidR="00B67825" w:rsidRDefault="00B67825" w:rsidP="00BE0B6F">
            <w:r>
              <w:t>После 1995</w:t>
            </w:r>
          </w:p>
        </w:tc>
        <w:tc>
          <w:tcPr>
            <w:tcW w:w="2614" w:type="dxa"/>
          </w:tcPr>
          <w:p w:rsidR="00B67825" w:rsidRDefault="00B67825" w:rsidP="00BE0B6F">
            <w:pPr>
              <w:jc w:val="center"/>
            </w:pPr>
            <w:r>
              <w:t>20,7</w:t>
            </w:r>
          </w:p>
        </w:tc>
        <w:tc>
          <w:tcPr>
            <w:tcW w:w="2614" w:type="dxa"/>
          </w:tcPr>
          <w:p w:rsidR="00B67825" w:rsidRDefault="00B67825" w:rsidP="00BE0B6F">
            <w:pPr>
              <w:jc w:val="center"/>
            </w:pPr>
            <w:r>
              <w:t>13,9</w:t>
            </w:r>
          </w:p>
        </w:tc>
        <w:tc>
          <w:tcPr>
            <w:tcW w:w="2614" w:type="dxa"/>
          </w:tcPr>
          <w:p w:rsidR="00B67825" w:rsidRDefault="00B67825" w:rsidP="00BE0B6F">
            <w:pPr>
              <w:jc w:val="center"/>
            </w:pPr>
            <w:r>
              <w:t>7,4</w:t>
            </w:r>
          </w:p>
        </w:tc>
      </w:tr>
      <w:tr w:rsidR="00B67825" w:rsidTr="00BE0B6F">
        <w:tc>
          <w:tcPr>
            <w:tcW w:w="2614" w:type="dxa"/>
          </w:tcPr>
          <w:p w:rsidR="00B67825" w:rsidRDefault="00B67825" w:rsidP="00BE0B6F">
            <w:r w:rsidRPr="00B3574B">
              <w:rPr>
                <w:b/>
              </w:rPr>
              <w:t>По проценту износа:</w:t>
            </w:r>
            <w:r>
              <w:br/>
              <w:t>от 0 до 30%</w:t>
            </w:r>
          </w:p>
        </w:tc>
        <w:tc>
          <w:tcPr>
            <w:tcW w:w="2614" w:type="dxa"/>
          </w:tcPr>
          <w:p w:rsidR="00B67825" w:rsidRDefault="00B67825" w:rsidP="00BE0B6F">
            <w:pPr>
              <w:jc w:val="center"/>
            </w:pPr>
            <w:r>
              <w:t>62,1</w:t>
            </w:r>
          </w:p>
        </w:tc>
        <w:tc>
          <w:tcPr>
            <w:tcW w:w="2614" w:type="dxa"/>
          </w:tcPr>
          <w:p w:rsidR="00B67825" w:rsidRDefault="00B67825" w:rsidP="00BE0B6F">
            <w:pPr>
              <w:jc w:val="center"/>
            </w:pPr>
            <w:r>
              <w:t>39,5</w:t>
            </w:r>
          </w:p>
        </w:tc>
        <w:tc>
          <w:tcPr>
            <w:tcW w:w="2614" w:type="dxa"/>
          </w:tcPr>
          <w:p w:rsidR="00B67825" w:rsidRDefault="00B67825" w:rsidP="00BE0B6F">
            <w:pPr>
              <w:jc w:val="center"/>
            </w:pPr>
            <w:r>
              <w:t>39,4</w:t>
            </w:r>
          </w:p>
        </w:tc>
      </w:tr>
      <w:tr w:rsidR="00B67825" w:rsidTr="00BE0B6F">
        <w:tc>
          <w:tcPr>
            <w:tcW w:w="2614" w:type="dxa"/>
          </w:tcPr>
          <w:p w:rsidR="00B67825" w:rsidRDefault="00B67825" w:rsidP="00BE0B6F">
            <w:r>
              <w:t>От 31% до 65%</w:t>
            </w:r>
          </w:p>
        </w:tc>
        <w:tc>
          <w:tcPr>
            <w:tcW w:w="2614" w:type="dxa"/>
          </w:tcPr>
          <w:p w:rsidR="00B67825" w:rsidRDefault="00B67825" w:rsidP="00BE0B6F">
            <w:pPr>
              <w:jc w:val="center"/>
            </w:pPr>
            <w:r>
              <w:t>34,3</w:t>
            </w:r>
          </w:p>
        </w:tc>
        <w:tc>
          <w:tcPr>
            <w:tcW w:w="2614" w:type="dxa"/>
          </w:tcPr>
          <w:p w:rsidR="00B67825" w:rsidRDefault="00B67825" w:rsidP="00BE0B6F">
            <w:pPr>
              <w:jc w:val="center"/>
            </w:pPr>
            <w:r>
              <w:t>53,5</w:t>
            </w:r>
          </w:p>
        </w:tc>
        <w:tc>
          <w:tcPr>
            <w:tcW w:w="2614" w:type="dxa"/>
          </w:tcPr>
          <w:p w:rsidR="00B67825" w:rsidRDefault="00B67825" w:rsidP="00BE0B6F">
            <w:pPr>
              <w:jc w:val="center"/>
            </w:pPr>
            <w:r>
              <w:t>51,5</w:t>
            </w:r>
          </w:p>
        </w:tc>
      </w:tr>
      <w:tr w:rsidR="00B67825" w:rsidTr="00BE0B6F">
        <w:tc>
          <w:tcPr>
            <w:tcW w:w="2614" w:type="dxa"/>
          </w:tcPr>
          <w:p w:rsidR="00B67825" w:rsidRDefault="00B67825" w:rsidP="00BE0B6F">
            <w:r>
              <w:t>От 66% до 70%</w:t>
            </w:r>
          </w:p>
        </w:tc>
        <w:tc>
          <w:tcPr>
            <w:tcW w:w="2614" w:type="dxa"/>
          </w:tcPr>
          <w:p w:rsidR="00B67825" w:rsidRDefault="00B67825" w:rsidP="00BE0B6F">
            <w:pPr>
              <w:jc w:val="center"/>
            </w:pPr>
            <w:r>
              <w:t>2,6</w:t>
            </w:r>
          </w:p>
        </w:tc>
        <w:tc>
          <w:tcPr>
            <w:tcW w:w="2614" w:type="dxa"/>
          </w:tcPr>
          <w:p w:rsidR="00B67825" w:rsidRDefault="00B67825" w:rsidP="00BE0B6F">
            <w:pPr>
              <w:jc w:val="center"/>
            </w:pPr>
            <w:r>
              <w:t>5,2</w:t>
            </w:r>
          </w:p>
        </w:tc>
        <w:tc>
          <w:tcPr>
            <w:tcW w:w="2614" w:type="dxa"/>
          </w:tcPr>
          <w:p w:rsidR="00B67825" w:rsidRDefault="00B67825" w:rsidP="00BE0B6F">
            <w:pPr>
              <w:jc w:val="center"/>
            </w:pPr>
            <w:r>
              <w:t>6,6</w:t>
            </w:r>
          </w:p>
        </w:tc>
      </w:tr>
      <w:tr w:rsidR="00B67825" w:rsidTr="00BE0B6F">
        <w:tc>
          <w:tcPr>
            <w:tcW w:w="2614" w:type="dxa"/>
          </w:tcPr>
          <w:p w:rsidR="00B67825" w:rsidRDefault="00B67825" w:rsidP="00BE0B6F">
            <w:r>
              <w:t>Свыше 70%</w:t>
            </w:r>
          </w:p>
        </w:tc>
        <w:tc>
          <w:tcPr>
            <w:tcW w:w="2614" w:type="dxa"/>
          </w:tcPr>
          <w:p w:rsidR="00B67825" w:rsidRDefault="00B67825" w:rsidP="00BE0B6F">
            <w:pPr>
              <w:jc w:val="center"/>
            </w:pPr>
            <w:r>
              <w:t>1,0</w:t>
            </w:r>
          </w:p>
        </w:tc>
        <w:tc>
          <w:tcPr>
            <w:tcW w:w="2614" w:type="dxa"/>
          </w:tcPr>
          <w:p w:rsidR="00B67825" w:rsidRDefault="00B67825" w:rsidP="00BE0B6F">
            <w:pPr>
              <w:jc w:val="center"/>
            </w:pPr>
            <w:r>
              <w:t>1,8</w:t>
            </w:r>
          </w:p>
        </w:tc>
        <w:tc>
          <w:tcPr>
            <w:tcW w:w="2614" w:type="dxa"/>
          </w:tcPr>
          <w:p w:rsidR="00B67825" w:rsidRDefault="00B67825" w:rsidP="00BE0B6F">
            <w:pPr>
              <w:jc w:val="center"/>
            </w:pPr>
            <w:r>
              <w:t>2,5</w:t>
            </w:r>
          </w:p>
        </w:tc>
      </w:tr>
    </w:tbl>
    <w:p w:rsidR="00B67825" w:rsidRDefault="00B67825" w:rsidP="00B67825">
      <w:pPr>
        <w:jc w:val="center"/>
      </w:pPr>
    </w:p>
    <w:p w:rsidR="00B67825" w:rsidRDefault="00B67825" w:rsidP="00B67825">
      <w:pPr>
        <w:ind w:firstLine="360"/>
      </w:pPr>
      <w:r>
        <w:t>По данным Госстата на конец 2011 года наиболее высока доля ветхого и аварийного жилищного фонда в Республике Ингушетия – 20,3%, Республике Тыва – 18,9%, Республике Дагестан – 18,6%, Республике Саха (Якутия) – 13,6%, Магаданской области – 11,2%, Ямало-Ненецком автономном округе – 9,9%, Республике Коми – 9,6%, Сахалинской области – 9,3%, Астраханской области – 9,1%, Амурской области – 8,8%, Иркутской области – 8,7%, Архангельской области – 8,0%, Еврейской автономной области – 7,9%.</w:t>
      </w:r>
    </w:p>
    <w:p w:rsidR="00B67825" w:rsidRDefault="00B67825" w:rsidP="00B67825">
      <w:pPr>
        <w:ind w:firstLine="360"/>
      </w:pPr>
      <w:r>
        <w:t>Основным инструментом государственной политики по переселению граждан из аварийного жилищного фонда и по проведению капитального ремонта жилищного фонда остается Фонд содействия реформированию жилищно-коммунального хозяйства.</w:t>
      </w:r>
    </w:p>
    <w:p w:rsidR="00B67825" w:rsidRDefault="00B67825" w:rsidP="00B67825">
      <w:pPr>
        <w:ind w:firstLine="360"/>
      </w:pPr>
      <w:r>
        <w:t xml:space="preserve">По данным Фонда за 2010-2013 гг. введено в эксплуатацию 1,79 млн. кв. м. общей площади жилых домов, однако указанная площадь лишь в части покрывает площадь жилья, предоставленного лицам, проживавшим в ветхом и аварийном жилом фонде (жилье предоставляется также нуждающимся гражданам, гражданам с тремя детьми и более и другим категориям граждан). </w:t>
      </w:r>
    </w:p>
    <w:p w:rsidR="00B67825" w:rsidRDefault="00B67825" w:rsidP="00B67825">
      <w:pPr>
        <w:ind w:firstLine="360"/>
      </w:pPr>
      <w:r>
        <w:t>Необходимо также отметить, что Федеральным законом от 28.11.2011 №337-ФЗ «О внесении изменений в Градостроительный кодекс Российской Федерации и отдельные законодательные акты Российской Федерации» с 1 января 2013 года в Градостроительном кодексе Российской Федерации установлены требования, предъявляемые к субъектам отношений по эксплуатации зданий, строений и сооружений, а также положения, регламентирующие проведение государственного надзора за соблюдением этими субъектами установленных требований по эксплуатации. Значимость решения этого вопроса особенно возрастает в условиях существенного износа подавляющей части зданий и сооружений, включая жилые дома, демонополизации системы управления жилищным фондом и приходом частных управляющих компаний в сферу управления многоквартирными домами.</w:t>
      </w:r>
    </w:p>
    <w:p w:rsidR="00B67825" w:rsidRDefault="00B67825" w:rsidP="00B67825">
      <w:pPr>
        <w:ind w:firstLine="360"/>
      </w:pPr>
      <w:r>
        <w:t>Вместе с тем, до сих пор уполномоченным федеральным органом исполнительной власти до сих пор не утверждены предусмотренные указанным Федеральным законом типовые правила обеспечения безопасной эксплуатации отдельных видов зданий, сооружений, в том числе многоквартирных домов. Также во многих муниципальных образованиях не установлены порядки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B67825" w:rsidRDefault="00B67825" w:rsidP="00B67825">
      <w:pPr>
        <w:ind w:firstLine="360"/>
      </w:pPr>
      <w:r>
        <w:t>В части организации капитального ремонта многоквартирных домов был принят Федеральный закон от 25.12.2012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предусматривающий создание региональных систем капитального ремонта, в первую очередь за счет платежей собственников помещения в многоквартирном доме за капитальный ремонт общего имущества многоквартирного дома.</w:t>
      </w:r>
    </w:p>
    <w:p w:rsidR="00B67825" w:rsidRDefault="00B67825" w:rsidP="00B67825">
      <w:pPr>
        <w:ind w:firstLine="360"/>
      </w:pPr>
      <w:r>
        <w:lastRenderedPageBreak/>
        <w:t>В то же время, перенос в дальнейшем всех расходов на капитальный ремонт жилых домов, построенных до 1992 года на собственников жилья невозможен по ряду причин. В соответствии с положениями Жилищного кодекса Российской Федерации собственники жилых помещений обязаны проводить капитальный ремонт общего имущества многоквартирного дома за свой счет. Однако до приватизации этим домом в большинстве случаев владело государство, и оно не может снимать с себя части ответственности за ремонт.</w:t>
      </w:r>
    </w:p>
    <w:p w:rsidR="00B67825" w:rsidRDefault="00B67825" w:rsidP="00B67825">
      <w:pPr>
        <w:ind w:firstLine="360"/>
      </w:pPr>
      <w:r>
        <w:t>Финансирование ранее не выполненных обязательств государства не должно целиком перекладываться на население. С другой стороны потребность в финансовых средствах на приведение жилого фонда в нормативное состояние столь велика (более 8 трлн. Рублей на начало 2010 года, при том, что на конец 2011 года фактические затраты на капитальный ремонт составили немногим более 81 миллиарда рублей), что без совместных усилий населения и органов публичной власти эта задача решена быть не может. Международный опыт и практика деятельности Фонда ЖКХ показывают реальность решения задачи санации значительных объемов жилищного фонда при активном участии государства в организации и софинансировании этих работ. Такой подход позволит преодолеть сохраняющийся рост объемов ветхого аварийного жилья.</w:t>
      </w:r>
    </w:p>
    <w:p w:rsidR="00B67825" w:rsidRDefault="00B67825" w:rsidP="00B67825">
      <w:pPr>
        <w:ind w:firstLine="360"/>
      </w:pPr>
      <w:r>
        <w:t>Кроме того, жилищным кодексом Российской Федерации (в редакции указанного Федерального закона) в целях создания региональных систем капитального ремонта предусматривает принятие субъектами Российской Федерации значительного числа нормативных правовых актов, устанавливающих в том числе:</w:t>
      </w:r>
    </w:p>
    <w:p w:rsidR="00B67825" w:rsidRDefault="00B67825" w:rsidP="00B67825">
      <w:pPr>
        <w:pStyle w:val="a4"/>
        <w:numPr>
          <w:ilvl w:val="0"/>
          <w:numId w:val="1"/>
        </w:numPr>
      </w:pPr>
      <w:r>
        <w:t>Минимальный размер взноса на капитальный ремонт общего имущества в многоквартирном доме;</w:t>
      </w:r>
    </w:p>
    <w:p w:rsidR="00B67825" w:rsidRDefault="00B67825" w:rsidP="00B67825">
      <w:pPr>
        <w:pStyle w:val="a4"/>
        <w:numPr>
          <w:ilvl w:val="0"/>
          <w:numId w:val="1"/>
        </w:numPr>
      </w:pPr>
      <w:r>
        <w:t>Порядок проведения мониторинга технического состояния многоквартирных домов;</w:t>
      </w:r>
    </w:p>
    <w:p w:rsidR="00B67825" w:rsidRDefault="00B67825" w:rsidP="00B67825">
      <w:pPr>
        <w:pStyle w:val="a4"/>
        <w:numPr>
          <w:ilvl w:val="0"/>
          <w:numId w:val="1"/>
        </w:numPr>
      </w:pPr>
      <w:r>
        <w:t>Создание региональных операторов, решение вопросов о формировании его имущества, порядке деятельности региональных операторов;</w:t>
      </w:r>
    </w:p>
    <w:p w:rsidR="00B67825" w:rsidRDefault="00B67825" w:rsidP="00B67825">
      <w:pPr>
        <w:pStyle w:val="a4"/>
        <w:numPr>
          <w:ilvl w:val="0"/>
          <w:numId w:val="1"/>
        </w:numPr>
      </w:pPr>
      <w:r>
        <w:t>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w:t>
      </w:r>
    </w:p>
    <w:p w:rsidR="00B67825" w:rsidRDefault="00B67825" w:rsidP="00B67825">
      <w:pPr>
        <w:pStyle w:val="a4"/>
        <w:numPr>
          <w:ilvl w:val="0"/>
          <w:numId w:val="1"/>
        </w:numPr>
      </w:pPr>
      <w:r>
        <w:t>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B67825" w:rsidRDefault="00B67825" w:rsidP="00B67825">
      <w:pPr>
        <w:pStyle w:val="a4"/>
        <w:numPr>
          <w:ilvl w:val="0"/>
          <w:numId w:val="1"/>
        </w:numPr>
      </w:pPr>
      <w:r>
        <w:t>Порядок осуществления контроля за целевым расходованием денежных средств, сформированных за счет взносов на капитальный ремонт и обеспечение сохранности этих средств.</w:t>
      </w:r>
    </w:p>
    <w:p w:rsidR="00B67825" w:rsidRDefault="00B67825" w:rsidP="00B67825">
      <w:pPr>
        <w:ind w:firstLine="360"/>
      </w:pPr>
      <w:r>
        <w:t>Кроме того, высшими исполнительными органами государственной власти субъектов Российской Федерации утверждаются региональные программы капитального ремонта общего имущества в многоквартирных домах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бюджетов субъектов Российской Федерации, местных бюджетов.</w:t>
      </w:r>
    </w:p>
    <w:p w:rsidR="00B67825" w:rsidRDefault="00B67825" w:rsidP="00B67825">
      <w:pPr>
        <w:ind w:firstLine="360"/>
      </w:pPr>
      <w:r>
        <w:t>В связи с этим, участники парламентских слушаний отмечают необходимость разработки и принятия всеми субъектами Российской Федерации указанных нормативных правовых актов и программ капитального ремонта общего имущества в многоквартирных домах.</w:t>
      </w:r>
    </w:p>
    <w:p w:rsidR="00B67825" w:rsidRDefault="00B67825" w:rsidP="00B67825">
      <w:pPr>
        <w:ind w:firstLine="360"/>
      </w:pPr>
      <w:r>
        <w:t>Отдельного внимания, по мнению участников парламентских слушаний, заслуживает вопрос о качестве подготовки документов территориального планирования, градостроительного зонирования и планировки территории в целях обеспечения безопасного размещения зданий и сооружений.</w:t>
      </w:r>
    </w:p>
    <w:p w:rsidR="00B67825" w:rsidRDefault="00B67825" w:rsidP="00B67825">
      <w:pPr>
        <w:ind w:firstLine="360"/>
      </w:pPr>
      <w:r>
        <w:t xml:space="preserve">На основании вышеизложенного, в целях обеспечения безопасности зданий и сооружений участники парламентских слушаний </w:t>
      </w:r>
      <w:r w:rsidRPr="00B67825">
        <w:rPr>
          <w:b/>
        </w:rPr>
        <w:t>рекомендуют</w:t>
      </w:r>
      <w:r>
        <w:t>:</w:t>
      </w:r>
    </w:p>
    <w:p w:rsidR="00B67825" w:rsidRPr="001B2DC0" w:rsidRDefault="00B67825" w:rsidP="00B67825">
      <w:pPr>
        <w:pStyle w:val="a4"/>
        <w:numPr>
          <w:ilvl w:val="0"/>
          <w:numId w:val="2"/>
        </w:numPr>
        <w:rPr>
          <w:b/>
        </w:rPr>
      </w:pPr>
      <w:r w:rsidRPr="001B2DC0">
        <w:rPr>
          <w:b/>
        </w:rPr>
        <w:t>Государственной Думе Федерального Собрания Российской Федерации:</w:t>
      </w:r>
      <w:r w:rsidRPr="001B2DC0">
        <w:rPr>
          <w:b/>
        </w:rPr>
        <w:br/>
      </w:r>
    </w:p>
    <w:p w:rsidR="00B67825" w:rsidRDefault="00B67825" w:rsidP="00B67825">
      <w:pPr>
        <w:pStyle w:val="a4"/>
        <w:numPr>
          <w:ilvl w:val="1"/>
          <w:numId w:val="2"/>
        </w:numPr>
      </w:pPr>
      <w:r>
        <w:t xml:space="preserve">В приоритетном порядке рассматривать законопроекты, направленные на повышение безопасности зданий и сооружений, а также на совершенствование деятельности саморегулируемых организаций в области инженерных изысканий, архитектурно-строительного проектирования, </w:t>
      </w:r>
      <w:r>
        <w:lastRenderedPageBreak/>
        <w:t>строительства, реконструкции, капитального ремонта объектов капитального строительства и национальных объединений саморегулируемых организаций соответствующего вида в целях усиления ответственности, контроля и надзора за их деятельностью.</w:t>
      </w:r>
    </w:p>
    <w:p w:rsidR="00B67825" w:rsidRDefault="00B67825" w:rsidP="00B67825">
      <w:pPr>
        <w:pStyle w:val="a4"/>
        <w:numPr>
          <w:ilvl w:val="1"/>
          <w:numId w:val="2"/>
        </w:numPr>
      </w:pPr>
      <w:r>
        <w:t>Обеспечить в период осенней сессии 2013 года рассмотрение во втором и третьем чтениям проект федерального закона №50482-6 «О внесении изменений в Градостроительный кодекс Российской Федерации» (в части уточнения отдельных положений деятельности саморегулируемых организаций в области инженерных изысканий, архитектурно-строительного проектирования, строительства).</w:t>
      </w:r>
      <w:r>
        <w:br/>
      </w:r>
    </w:p>
    <w:p w:rsidR="00B67825" w:rsidRPr="006F54BC" w:rsidRDefault="00B67825" w:rsidP="00B67825">
      <w:pPr>
        <w:pStyle w:val="a4"/>
        <w:numPr>
          <w:ilvl w:val="0"/>
          <w:numId w:val="2"/>
        </w:numPr>
        <w:rPr>
          <w:b/>
        </w:rPr>
      </w:pPr>
      <w:r w:rsidRPr="006F54BC">
        <w:rPr>
          <w:b/>
        </w:rPr>
        <w:t>Правительству Российской Федерации:</w:t>
      </w:r>
    </w:p>
    <w:p w:rsidR="00B67825" w:rsidRDefault="00B67825" w:rsidP="00B67825">
      <w:pPr>
        <w:pStyle w:val="a4"/>
        <w:numPr>
          <w:ilvl w:val="1"/>
          <w:numId w:val="2"/>
        </w:numPr>
      </w:pPr>
      <w:r>
        <w:t>Разработать и внести в Государственную Думу проекты федеральных законов, направленных на:</w:t>
      </w:r>
    </w:p>
    <w:p w:rsidR="00B67825" w:rsidRDefault="00B67825" w:rsidP="00B67825">
      <w:pPr>
        <w:pStyle w:val="a4"/>
        <w:numPr>
          <w:ilvl w:val="2"/>
          <w:numId w:val="2"/>
        </w:numPr>
      </w:pPr>
      <w:r>
        <w:t>Пресечение деятельности саморегулируемых организаций по выдаче свидетельств о допуске к работам, которые оказывают влияние на безопасность объектов капитального строительства, с нарушением требований законодательства Российской Федерации;</w:t>
      </w:r>
    </w:p>
    <w:p w:rsidR="00B67825" w:rsidRDefault="00B67825" w:rsidP="00B67825">
      <w:pPr>
        <w:pStyle w:val="a4"/>
        <w:numPr>
          <w:ilvl w:val="2"/>
          <w:numId w:val="2"/>
        </w:numPr>
      </w:pPr>
      <w:r>
        <w:t>Усиление ответственности саморегулируемых организаций и их должностных лиц за выдачу свидетельств о допуске к работам, которые оказывают влияние на безопасность объектов капитального строительства, с нарушением требований законодательства Российской Федерации.</w:t>
      </w:r>
    </w:p>
    <w:p w:rsidR="00B67825" w:rsidRDefault="00B67825" w:rsidP="00B67825">
      <w:pPr>
        <w:pStyle w:val="a4"/>
        <w:numPr>
          <w:ilvl w:val="1"/>
          <w:numId w:val="2"/>
        </w:numPr>
      </w:pPr>
      <w:r>
        <w:t>Обеспечить в кратчайшие сроки проведение оценки технического состояния особо опасных, технически сложных и уникальных объектов, и условий их эксплуатации.</w:t>
      </w:r>
    </w:p>
    <w:p w:rsidR="00B67825" w:rsidRDefault="00B67825" w:rsidP="00B67825">
      <w:pPr>
        <w:pStyle w:val="a4"/>
        <w:numPr>
          <w:ilvl w:val="1"/>
          <w:numId w:val="2"/>
        </w:numPr>
      </w:pPr>
      <w:r>
        <w:t>Ускорить разработку и принятие нормативного правового акта, устанавливающего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w:t>
      </w:r>
    </w:p>
    <w:p w:rsidR="00B67825" w:rsidRDefault="00B67825" w:rsidP="00B67825">
      <w:pPr>
        <w:pStyle w:val="a4"/>
        <w:numPr>
          <w:ilvl w:val="1"/>
          <w:numId w:val="2"/>
        </w:numPr>
      </w:pPr>
      <w:r>
        <w:t>Обеспечить принятие уполномоченным федеральным органом исполнительной власти типовые правила обеспечения безопасной эксплуатации отдельных видов зданий, сооружений, в том числе многоквартирных домов.</w:t>
      </w:r>
    </w:p>
    <w:p w:rsidR="00B67825" w:rsidRDefault="00B67825" w:rsidP="00B67825">
      <w:pPr>
        <w:pStyle w:val="a4"/>
        <w:numPr>
          <w:ilvl w:val="1"/>
          <w:numId w:val="2"/>
        </w:numPr>
      </w:pPr>
      <w:r>
        <w:t>Обеспечить в кратчайшие сроки завершение актуализации строительных норм и правил,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распоряжением Правительства РФ от 21 июня 2010 года №1047-р.</w:t>
      </w:r>
    </w:p>
    <w:p w:rsidR="00B67825" w:rsidRDefault="00B67825" w:rsidP="00B67825">
      <w:pPr>
        <w:pStyle w:val="a4"/>
        <w:numPr>
          <w:ilvl w:val="1"/>
          <w:numId w:val="2"/>
        </w:numPr>
      </w:pPr>
      <w:r>
        <w:t>Обеспечить проведение федеральным органом исполнительной власти уполномоченным на осуществление надзора за деятельностью саморегулируемых организаций, надзорных мероприятий в отношении саморегулируемых организаций и применение мер административной ответственности при выявлении нарушений законодательства Российской Федерации.</w:t>
      </w:r>
    </w:p>
    <w:p w:rsidR="00B67825" w:rsidRDefault="00B67825" w:rsidP="00B67825">
      <w:pPr>
        <w:pStyle w:val="a4"/>
        <w:numPr>
          <w:ilvl w:val="1"/>
          <w:numId w:val="2"/>
        </w:numPr>
      </w:pPr>
      <w:r>
        <w:t>Обеспечить создание условий для повышения квалификации экспертов, осуществляющих государственную и негосударственную экспертизу результатов инженерных изысканий и проектной документации.</w:t>
      </w:r>
    </w:p>
    <w:p w:rsidR="00B67825" w:rsidRDefault="00B67825" w:rsidP="00B67825">
      <w:pPr>
        <w:pStyle w:val="a4"/>
        <w:numPr>
          <w:ilvl w:val="1"/>
          <w:numId w:val="2"/>
        </w:numPr>
      </w:pPr>
      <w:r>
        <w:t>Организовать системное информационное взаимодействие с органами государственного надзора для оценки выполнения СРО положений ст. 55.13 – 55.16 Градостроительного кодекса Российской Федерации, требований технических регламентов, анализа и выявления системных причин аварий и происшествий на объектах капитального строительства.</w:t>
      </w:r>
      <w:r>
        <w:br/>
      </w:r>
    </w:p>
    <w:p w:rsidR="00B67825" w:rsidRPr="006F54BC" w:rsidRDefault="00B67825" w:rsidP="00B67825">
      <w:pPr>
        <w:pStyle w:val="a4"/>
        <w:numPr>
          <w:ilvl w:val="0"/>
          <w:numId w:val="2"/>
        </w:numPr>
        <w:rPr>
          <w:b/>
        </w:rPr>
      </w:pPr>
      <w:r w:rsidRPr="006F54BC">
        <w:rPr>
          <w:b/>
        </w:rPr>
        <w:t>Органам государственной власти субъектов Российской Федерации:</w:t>
      </w:r>
    </w:p>
    <w:p w:rsidR="00B67825" w:rsidRDefault="00B67825" w:rsidP="00B67825">
      <w:pPr>
        <w:pStyle w:val="a4"/>
        <w:numPr>
          <w:ilvl w:val="1"/>
          <w:numId w:val="2"/>
        </w:numPr>
      </w:pPr>
      <w:r>
        <w:t>Обеспечить в кратчайшие сроки проведение оценки технического состояния зданий, предназначенных для массового пребывания, и условия их эксплуатации.</w:t>
      </w:r>
    </w:p>
    <w:p w:rsidR="00B67825" w:rsidRDefault="00B67825" w:rsidP="00B67825">
      <w:pPr>
        <w:pStyle w:val="a4"/>
        <w:numPr>
          <w:ilvl w:val="1"/>
          <w:numId w:val="2"/>
        </w:numPr>
      </w:pPr>
      <w:r>
        <w:t xml:space="preserve">Ускорить разработку и принятие нормативных правовых актов, предусмотренных Федеральным законом от 25.12.2012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и направленных на обеспечение своевременного проведения капитального ремонта общего имущества в многоквартирных домах, </w:t>
      </w:r>
      <w:r>
        <w:lastRenderedPageBreak/>
        <w:t>расположенных на территории субъекта Российской Федерации.</w:t>
      </w:r>
      <w:r>
        <w:br/>
      </w:r>
    </w:p>
    <w:p w:rsidR="00B67825" w:rsidRPr="006F54BC" w:rsidRDefault="00B67825" w:rsidP="00B67825">
      <w:pPr>
        <w:pStyle w:val="a4"/>
        <w:numPr>
          <w:ilvl w:val="0"/>
          <w:numId w:val="2"/>
        </w:numPr>
        <w:rPr>
          <w:b/>
        </w:rPr>
      </w:pPr>
      <w:r w:rsidRPr="006F54BC">
        <w:rPr>
          <w:b/>
        </w:rPr>
        <w:t>Органам местного самоуправления</w:t>
      </w:r>
    </w:p>
    <w:p w:rsidR="00B67825" w:rsidRDefault="00B67825" w:rsidP="00B67825">
      <w:pPr>
        <w:pStyle w:val="a4"/>
        <w:numPr>
          <w:ilvl w:val="1"/>
          <w:numId w:val="2"/>
        </w:numPr>
      </w:pPr>
      <w:r>
        <w:t>Ускорить разработку и принятие порядков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r>
        <w:br/>
      </w:r>
    </w:p>
    <w:p w:rsidR="00B67825" w:rsidRDefault="00B67825" w:rsidP="00B67825">
      <w:pPr>
        <w:pStyle w:val="a4"/>
        <w:numPr>
          <w:ilvl w:val="0"/>
          <w:numId w:val="2"/>
        </w:numPr>
      </w:pPr>
      <w:r>
        <w:t>Национальным объединениям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67825" w:rsidRDefault="00B67825" w:rsidP="00B67825">
      <w:pPr>
        <w:pStyle w:val="a4"/>
        <w:numPr>
          <w:ilvl w:val="1"/>
          <w:numId w:val="2"/>
        </w:numPr>
      </w:pPr>
      <w:r>
        <w:t>В целях достижения целей саморегулирования и повышения безопасности зданий, сооружений оказывать информационное обеспечение саморегулируемых организаций и осуществлять методическую деятельность, в том числе в части разработки стандартов саморегулируемых организаций, создании системы обучения, аттестации и переаттестации работников членов саморегулируемых организаций.</w:t>
      </w:r>
    </w:p>
    <w:p w:rsidR="00B67825" w:rsidRPr="00B67825" w:rsidRDefault="00B67825"/>
    <w:sectPr w:rsidR="00B67825" w:rsidRPr="00B67825" w:rsidSect="00B6782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E3AED"/>
    <w:multiLevelType w:val="hybridMultilevel"/>
    <w:tmpl w:val="F1B09BC8"/>
    <w:lvl w:ilvl="0" w:tplc="8684EC12">
      <w:start w:val="192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5D7F7E"/>
    <w:multiLevelType w:val="multilevel"/>
    <w:tmpl w:val="265E4CFA"/>
    <w:lvl w:ilvl="0">
      <w:start w:val="1"/>
      <w:numFmt w:val="decimal"/>
      <w:lvlText w:val="%1."/>
      <w:lvlJc w:val="left"/>
      <w:pPr>
        <w:tabs>
          <w:tab w:val="num" w:pos="397"/>
        </w:tabs>
        <w:ind w:left="340" w:firstLine="17"/>
      </w:pPr>
      <w:rPr>
        <w:rFonts w:hint="default"/>
      </w:rPr>
    </w:lvl>
    <w:lvl w:ilvl="1">
      <w:start w:val="1"/>
      <w:numFmt w:val="decimal"/>
      <w:lvlText w:val="%1.%2."/>
      <w:lvlJc w:val="left"/>
      <w:pPr>
        <w:ind w:left="340" w:firstLine="340"/>
      </w:pPr>
      <w:rPr>
        <w:rFonts w:hint="default"/>
      </w:rPr>
    </w:lvl>
    <w:lvl w:ilvl="2">
      <w:start w:val="1921"/>
      <w:numFmt w:val="bullet"/>
      <w:lvlText w:val=""/>
      <w:lvlJc w:val="left"/>
      <w:pPr>
        <w:ind w:left="1224" w:hanging="504"/>
      </w:pPr>
      <w:rPr>
        <w:rFonts w:ascii="Symbol" w:eastAsiaTheme="minorHAnsi" w:hAnsi="Symbol"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B67825"/>
    <w:rsid w:val="005656C9"/>
    <w:rsid w:val="005A5663"/>
    <w:rsid w:val="00B67825"/>
    <w:rsid w:val="00E266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6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6782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5126</Words>
  <Characters>29224</Characters>
  <Application>Microsoft Office Word</Application>
  <DocSecurity>4</DocSecurity>
  <Lines>243</Lines>
  <Paragraphs>68</Paragraphs>
  <ScaleCrop>false</ScaleCrop>
  <Company/>
  <LinksUpToDate>false</LinksUpToDate>
  <CharactersWithSpaces>34282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Gorokhov</dc:creator>
  <cp:lastModifiedBy>Lena</cp:lastModifiedBy>
  <cp:revision>2</cp:revision>
  <dcterms:created xsi:type="dcterms:W3CDTF">2013-10-14T06:10:00Z</dcterms:created>
  <dcterms:modified xsi:type="dcterms:W3CDTF">2013-10-14T06:10:00Z</dcterms:modified>
</cp:coreProperties>
</file>